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1F3A5F"/>
          <w:left w:val="single" w:sz="4" w:space="0" w:color="1F3A5F"/>
          <w:bottom w:val="single" w:sz="4" w:space="0" w:color="1F3A5F"/>
          <w:right w:val="single" w:sz="4" w:space="0" w:color="1F3A5F"/>
          <w:insideH w:val="single" w:sz="4" w:space="0" w:color="1F3A5F"/>
          <w:insideV w:val="single" w:sz="4" w:space="0" w:color="1F3A5F"/>
        </w:tblBorders>
        <w:tblLayout w:type="fixed"/>
        <w:tblCellMar>
          <w:top w:w="520" w:type="dxa"/>
          <w:left w:w="300" w:type="dxa"/>
          <w:bottom w:w="420" w:type="dxa"/>
          <w:right w:w="300" w:type="dxa"/>
        </w:tblCellMar>
      </w:tblPr>
      <w:tblGrid>
        <w:gridCol w:w="8958"/>
      </w:tblGrid>
      <w:tr>
        <w:trPr>
          <w:trHeight w:val="4876" w:hRule="atLeast"/>
        </w:trPr>
        <w:tc>
          <w:tcPr>
            <w:tcW w:type="dxa" w:w="8958"/>
            <w:shd w:val="clear" w:color="auto" w:fill="1F3A5F"/>
            <w:vAlign w:val="center"/>
          </w:tcPr>
          <w:p>
            <w:r/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C9A84C"/>
                <w:sz w:val="21"/>
              </w:rPr>
              <w:t>MULTI-AGENT SYSTEM  ·  WEEKLY REPORT</w:t>
            </w:r>
          </w:p>
          <w:p>
            <w:pPr>
              <w:spacing w:after="6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校园二手交易平台的</w:t>
            </w:r>
          </w:p>
          <w:p>
            <w:pPr>
              <w:spacing w:after="20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FFFFFF"/>
                <w:sz w:val="50"/>
              </w:rPr>
              <w:t>Multi-Agent 设计与实现</w:t>
            </w:r>
          </w:p>
          <w:p>
            <w:pPr>
              <w:spacing w:after="160"/>
              <w:jc w:val="center"/>
            </w:pPr>
            <w:r>
              <w:rPr>
                <w:rFonts w:ascii="Times New Roman" w:hAnsi="Times New Roman" w:eastAsia="微软雅黑" w:cs="Times New Roman"/>
                <w:b w:val="0"/>
                <w:color w:val="C9A84C"/>
                <w:sz w:val="20"/>
              </w:rPr>
              <w:t>◆　◆　◆</w:t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微软雅黑" w:cs="Times New Roman"/>
                <w:b/>
                <w:color w:val="E4D39C"/>
                <w:sz w:val="25"/>
              </w:rPr>
              <w:t>ACL 消息契约  ×  ER / 状态机详细设计  专题周报</w:t>
            </w:r>
          </w:p>
        </w:tc>
      </w:tr>
    </w:tbl>
    <w:p>
      <w:pPr>
        <w:spacing w:before="440" w:after="80"/>
        <w:jc w:val="center"/>
      </w:pPr>
      <w:r>
        <w:rPr>
          <w:rFonts w:ascii="Times New Roman" w:hAnsi="Times New Roman" w:eastAsia="微软雅黑" w:cs="Times New Roman"/>
          <w:b/>
          <w:color w:val="C9A84C"/>
          <w:sz w:val="30"/>
        </w:rPr>
        <w:t>项 目 研 究 周 报</w:t>
      </w:r>
    </w:p>
    <w:p>
      <w:pPr>
        <w:spacing w:after="320"/>
        <w:jc w:val="center"/>
      </w:pPr>
      <w:r>
        <w:rPr>
          <w:rFonts w:ascii="Times New Roman" w:hAnsi="Times New Roman" w:eastAsia="微软雅黑" w:cs="Times New Roman"/>
          <w:color w:val="6E7785"/>
          <w:sz w:val="22"/>
        </w:rPr>
        <w:t>第 3 周 · 详细设计与需求迭代周</w:t>
      </w:r>
    </w:p>
    <w:tbl>
      <w:tblPr>
        <w:tblW w:type="dxa" w:w="7484"/>
        <w:jc w:val="center"/>
        <w:tblLook w:firstColumn="1" w:firstRow="1" w:lastColumn="0" w:lastRow="0" w:noHBand="0" w:noVBand="1" w:val="04A0"/>
        <w:tblLayout w:type="fixed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041"/>
        <w:gridCol w:w="5443"/>
      </w:tblGrid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报告周期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2026 年 9 月 28 日 — 10 月 4 日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学　　号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2400320321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1F3A5F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姓　　名</w:t>
            </w:r>
          </w:p>
        </w:tc>
        <w:tc>
          <w:tcPr>
            <w:tcW w:type="dxa" w:w="5443"/>
            <w:shd w:val="clear" w:color="auto" w:fill="FAF7EE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梁奕琦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2E5C8A"/>
            <w:tcBorders>
              <w:top w:val="single" w:sz="2" w:space="0" w:color="C9A84C"/>
              <w:left w:val="single" w:sz="18" w:space="0" w:color="C9A84C"/>
              <w:bottom w:val="single" w:sz="2" w:space="0" w:color="C9A84C"/>
              <w:right w:val="single" w:sz="2" w:space="0" w:color="C9A84C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22"/>
              </w:rPr>
              <w:t>指导教师</w:t>
            </w:r>
          </w:p>
        </w:tc>
        <w:tc>
          <w:tcPr>
            <w:tcW w:type="dxa" w:w="5443"/>
            <w:shd w:val="clear" w:color="auto" w:fill="FFFFFF"/>
            <w:tcBorders>
              <w:top w:val="single" w:sz="2" w:space="0" w:color="BFCADB"/>
              <w:left w:val="single" w:sz="2" w:space="0" w:color="BFCADB"/>
              <w:bottom w:val="single" w:sz="2" w:space="0" w:color="BFCADB"/>
              <w:right w:val="single" w:sz="2" w:space="0" w:color="BFCADB"/>
            </w:tcBorders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22"/>
              </w:rPr>
              <w:t>曾志新　老师</w:t>
            </w:r>
          </w:p>
        </w:tc>
      </w:tr>
    </w:tbl>
    <w:p>
      <w:pPr>
        <w:spacing w:before="400" w:after="40"/>
        <w:jc w:val="center"/>
      </w:pPr>
      <w:r>
        <w:rPr>
          <w:rFonts w:ascii="Times New Roman" w:hAnsi="Times New Roman" w:eastAsia="微软雅黑" w:cs="Times New Roman"/>
          <w:b/>
          <w:color w:val="1F3A5F"/>
          <w:sz w:val="34"/>
        </w:rPr>
        <w:t>2026.09.28  —  10.04</w:t>
      </w:r>
    </w:p>
    <w:p>
      <w:pPr>
        <w:jc w:val="center"/>
      </w:pPr>
      <w:r>
        <w:rPr>
          <w:rFonts w:ascii="Times New Roman" w:hAnsi="Times New Roman" w:eastAsia="微软雅黑" w:cs="Times New Roman"/>
          <w:color w:val="6E7785"/>
          <w:sz w:val="20"/>
        </w:rPr>
        <w:t>提交日期：2026 年 10 月 6 日</w:t>
      </w:r>
    </w:p>
    <w:p>
      <w:r>
        <w:br w:type="page"/>
      </w:r>
    </w:p>
    <w:p>
      <w:pPr>
        <w:spacing w:before="12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22"/>
        </w:rPr>
        <w:t>CONTENTS</w:t>
      </w:r>
    </w:p>
    <w:p>
      <w:pPr>
        <w:spacing w:after="200"/>
        <w:jc w:val="center"/>
      </w:pPr>
      <w:r>
        <w:rPr>
          <w:rFonts w:ascii="Times New Roman" w:hAnsi="Times New Roman" w:eastAsia="微软雅黑" w:cs="Times New Roman"/>
          <w:b/>
          <w:color w:val="1F3A5F"/>
          <w:sz w:val="44"/>
        </w:rPr>
        <w:t>目　录</w:t>
      </w:r>
    </w:p>
    <w:p>
      <w:pPr>
        <w:spacing w:after="280"/>
        <w:jc w:val="center"/>
      </w:pPr>
      <w:r>
        <w:rPr>
          <w:rFonts w:ascii="Times New Roman" w:hAnsi="Times New Roman" w:eastAsia="微软雅黑" w:cs="Times New Roman"/>
          <w:color w:val="C9A84C"/>
          <w:sz w:val="20"/>
        </w:rPr>
        <w:t>— · — · — · — · —</w:t>
      </w:r>
    </w:p>
    <w:p>
      <w:r>
        <w:fldChar w:fldCharType="begin"/>
      </w:r>
      <w:r>
        <w:instrText xml:space="preserve"> TOC \o "1-2" \h \z \u </w:instrText>
      </w:r>
      <w:r>
        <w:rPr>
          <w:rFonts w:ascii="Times New Roman" w:hAnsi="Times New Roman" w:eastAsia="微软雅黑" w:cs="Times New Roman"/>
          <w:color w:val="6E7785"/>
          <w:sz w:val="20"/>
        </w:rPr>
        <w:t>打开文档后如目录未显示页码，请在目录上右键选择“更新域”。</w:t>
      </w:r>
      <w:r>
        <w:fldChar w:fldCharType="end"/>
      </w:r>
    </w:p>
    <w:p>
      <w:r>
        <w:br w:type="page"/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01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本周学习笔记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本周承接第 1 周的顶层方案，学习主线切换到“把方案落成可编码的详细设计”：围绕 Agent 通信协议（FIPA ACL）、契约式设计、数据库 ER 建模、有限状态机与并发控制五条线展开；国庆假期坚持完成两篇多智能体方向文献的精读，并把需求文档从 V1.0 迭代到 V1.1。主要学习内容归纳如下。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1.1  FIPA ACL 通信语言精读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言语行为理论：</w:t>
      </w:r>
      <w:r>
        <w:rPr>
          <w:rFonts w:ascii="Times New Roman" w:hAnsi="Times New Roman" w:eastAsia="微软雅黑" w:cs="Times New Roman"/>
          <w:color w:val="2D2D2D"/>
          <w:sz w:val="21"/>
        </w:rPr>
        <w:t>Agent 间通信不是普通的函数调用，而是带有“言语行为（Performative）”语义的消息——发送一条消息本身就在执行一个动作，如请求、承诺、拒绝、仲裁，这使接收方可以按消息类型做确定性的流程分支。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九种核心言语行为：</w:t>
      </w:r>
      <w:r>
        <w:rPr>
          <w:rFonts w:ascii="Times New Roman" w:hAnsi="Times New Roman" w:eastAsia="微软雅黑" w:cs="Times New Roman"/>
          <w:color w:val="2D2D2D"/>
          <w:sz w:val="21"/>
        </w:rPr>
        <w:t>request（请求）、inform（告知）、propose（提议/出价）、accept（接受）、reject（拒绝但可继续）、refuse（明确拒绝）、arbitrate（请求仲裁）、veto（安全否决）、interrupt（请求人工介入），与本项目业务环节一一对应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会话标识的重要性：</w:t>
      </w:r>
      <w:r>
        <w:rPr>
          <w:rFonts w:ascii="Times New Roman" w:hAnsi="Times New Roman" w:eastAsia="微软雅黑" w:cs="Times New Roman"/>
          <w:color w:val="2D2D2D"/>
          <w:sz w:val="21"/>
        </w:rPr>
        <w:t>conversation_id 把同一笔议价、同一次仲裁中的多轮消息串成一条可回放的线程；graph_thread_id 再把消息线程与 LangGraph 检查点绑定，实现“消息—状态—轨迹”三位一体可追溯。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协议与内容解耦：</w:t>
      </w:r>
      <w:r>
        <w:rPr>
          <w:rFonts w:ascii="Times New Roman" w:hAnsi="Times New Roman" w:eastAsia="微软雅黑" w:cs="Times New Roman"/>
          <w:color w:val="2D2D2D"/>
          <w:sz w:val="21"/>
        </w:rPr>
        <w:t>ACL 只规定信封结构，payload 由各业务自行定义类型化字典，这种“固定信封 + 类型化内容”的设计，既保证总线可统一校验，又允许各 Agent 独立演化。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1.2  Pydantic 契约式设计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契约先行：</w:t>
      </w:r>
      <w:r>
        <w:rPr>
          <w:rFonts w:ascii="Times New Roman" w:hAnsi="Times New Roman" w:eastAsia="微软雅黑" w:cs="Times New Roman"/>
          <w:color w:val="2D2D2D"/>
          <w:sz w:val="21"/>
        </w:rPr>
        <w:t>在写任何业务代码前，先用 Pydantic BaseModel 把 Agent 的输入/输出定义成强类型模型；非法消息在进入系统边界时就被拒绝，避免“脏数据进、混乱状态出”。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边界即校验：</w:t>
      </w:r>
      <w:r>
        <w:rPr>
          <w:rFonts w:ascii="Times New Roman" w:hAnsi="Times New Roman" w:eastAsia="微软雅黑" w:cs="Times New Roman"/>
          <w:color w:val="2D2D2D"/>
          <w:sz w:val="21"/>
        </w:rPr>
        <w:t>Field 的 min_length / ge / le / max_length 等约束把异常码判定前置；Enum 封闭 performative 等枚举取值，从源头杜绝拼写漂移。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对本项目的价值：</w:t>
      </w:r>
      <w:r>
        <w:rPr>
          <w:rFonts w:ascii="Times New Roman" w:hAnsi="Times New Roman" w:eastAsia="微软雅黑" w:cs="Times New Roman"/>
          <w:color w:val="2D2D2D"/>
          <w:sz w:val="21"/>
        </w:rPr>
        <w:t>九张角色卡片、LLM 结构化输出、前端接口三处共用同一份 Schema，前后端可并行开发，单测时直接以契约对象构造用例，也为 LLM 输出的“结构化校验 → 重试 → 兜底”打下基础。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1.3  数据库实体关系（ER）建模方法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实体识别“名词法”：</w:t>
      </w:r>
      <w:r>
        <w:rPr>
          <w:rFonts w:ascii="Times New Roman" w:hAnsi="Times New Roman" w:eastAsia="微软雅黑" w:cs="Times New Roman"/>
          <w:color w:val="2D2D2D"/>
          <w:sz w:val="21"/>
        </w:rPr>
        <w:t>从业务链路描述中抽取名词——用户、商品、议价、出价、订单、评价、申诉，再补充系统侧实体——消息、冲突事件、Agent 状态、审计日志，共得到 11 张核心表。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关系基数：</w:t>
      </w:r>
      <w:r>
        <w:rPr>
          <w:rFonts w:ascii="Times New Roman" w:hAnsi="Times New Roman" w:eastAsia="微软雅黑" w:cs="Times New Roman"/>
          <w:color w:val="2D2D2D"/>
          <w:sz w:val="21"/>
        </w:rPr>
        <w:t>用户 1∶N 商品、商品 1∶N 议价会话、议价 1∶N 出价、商品 1∶1 成交订单、订单 1∶1 评价（一单仅一次互评）、订单 1∶N 申诉，据此设置外键与唯一约束。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两类“锁”字段要分清：</w:t>
      </w:r>
      <w:r>
        <w:rPr>
          <w:rFonts w:ascii="Times New Roman" w:hAnsi="Times New Roman" w:eastAsia="微软雅黑" w:cs="Times New Roman"/>
          <w:color w:val="2D2D2D"/>
          <w:sz w:val="21"/>
        </w:rPr>
        <w:t>version 是乐观版本号（每次更新 +1，用于检测并发写冲突）；lock_token + lock_until 是业务预占锁（谁持锁、何时到期），两者解决的问题不同，必须同时存在。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1.4  有限状态机（FSM）与订单生命周期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状态机三要素：</w:t>
      </w:r>
      <w:r>
        <w:rPr>
          <w:rFonts w:ascii="Times New Roman" w:hAnsi="Times New Roman" w:eastAsia="微软雅黑" w:cs="Times New Roman"/>
          <w:color w:val="2D2D2D"/>
          <w:sz w:val="21"/>
        </w:rPr>
        <w:t>有限状态集合、带守卫条件的迁移、非法迁移一律拒绝。把商品和订单的状态迁移集中到状态机中校验，业务代码就不能“绕路”把已成交商品改回在售。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事件驱动迁移：</w:t>
      </w:r>
      <w:r>
        <w:rPr>
          <w:rFonts w:ascii="Times New Roman" w:hAnsi="Times New Roman" w:eastAsia="微软雅黑" w:cs="Times New Roman"/>
          <w:color w:val="2D2D2D"/>
          <w:sz w:val="21"/>
        </w:rPr>
        <w:t>订单的每次状态变化都由支付、超时、交付、仲裁等事件触发，迁移路径可枚举、可测试，天然契合检查点回放。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终态不可变：</w:t>
      </w:r>
      <w:r>
        <w:rPr>
          <w:rFonts w:ascii="Times New Roman" w:hAnsi="Times New Roman" w:eastAsia="微软雅黑" w:cs="Times New Roman"/>
          <w:color w:val="2D2D2D"/>
          <w:sz w:val="21"/>
        </w:rPr>
        <w:t>已成交、已评价、已取消、已冻结属于终态，任何后续写操作都应被状态机拒绝，这是“同一商品不可重复成交”的制度保障。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1.5  SQLite 并发控制与 WAL 机制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WAL 模式：</w:t>
      </w:r>
      <w:r>
        <w:rPr>
          <w:rFonts w:ascii="Times New Roman" w:hAnsi="Times New Roman" w:eastAsia="微软雅黑" w:cs="Times New Roman"/>
          <w:color w:val="2D2D2D"/>
          <w:sz w:val="21"/>
        </w:rPr>
        <w:t>SQLite 开启 WAL（Write-Ahead Logging）后可“多读单写”并发，读不阻塞写，对课程演示场景足够，且零配置、易交付。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乐观并发控制：</w:t>
      </w:r>
      <w:r>
        <w:rPr>
          <w:rFonts w:ascii="Times New Roman" w:hAnsi="Times New Roman" w:eastAsia="微软雅黑" w:cs="Times New Roman"/>
          <w:color w:val="2D2D2D"/>
          <w:sz w:val="21"/>
        </w:rPr>
        <w:t>UPDATE … WHERE id=? AND version=?，影响行数为 0 即说明已被他人抢先；相比悲观锁，它不需要长事务持锁，更适合 Web 场景。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锁租约防死锁：</w:t>
      </w:r>
      <w:r>
        <w:rPr>
          <w:rFonts w:ascii="Times New Roman" w:hAnsi="Times New Roman" w:eastAsia="微软雅黑" w:cs="Times New Roman"/>
          <w:color w:val="2D2D2D"/>
          <w:sz w:val="21"/>
        </w:rPr>
        <w:t>预占锁必须带 lock_until 到期时间，支付超时即由系统释放并回滚订单，杜绝“一个买家锁住商品却永不付款”的资源冲突。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1.6  国庆假期文献精读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纳什谈判解再理解：</w:t>
      </w:r>
      <w:r>
        <w:rPr>
          <w:rFonts w:ascii="Times New Roman" w:hAnsi="Times New Roman" w:eastAsia="微软雅黑" w:cs="Times New Roman"/>
          <w:color w:val="2D2D2D"/>
          <w:sz w:val="21"/>
        </w:rPr>
        <w:t>在双方底价构成的可行成交区间内，使“买家节省 × 卖家溢价”乘积最大的价格最接近公平；当 Agent 无法获得对方真实底价时，可借助历史成交价与出价轨迹估计区间。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人机混合决策（Human-in-the-Loop）：</w:t>
      </w:r>
      <w:r>
        <w:rPr>
          <w:rFonts w:ascii="Times New Roman" w:hAnsi="Times New Roman" w:eastAsia="微软雅黑" w:cs="Times New Roman"/>
          <w:color w:val="2D2D2D"/>
          <w:sz w:val="21"/>
        </w:rPr>
        <w:t>精读了 interrupt/恢复语义的相关资料：系统在关键节点挂起并持久化全部上下文，人工裁决后再把结果写回继续执行，与本项目三级阶梯的“人工兜底”完全对应。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1.7  需求工程：从“写想法”到“可验证标准”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两类验收标准：</w:t>
      </w:r>
      <w:r>
        <w:rPr>
          <w:rFonts w:ascii="Times New Roman" w:hAnsi="Times New Roman" w:eastAsia="微软雅黑" w:cs="Times New Roman"/>
          <w:color w:val="2D2D2D"/>
          <w:sz w:val="21"/>
        </w:rPr>
        <w:t>rule 型是客观二元条件（如并发下单恰一成功），rubric 型按维度打分设定阈值（如前端易用性 5 分制 ≥4 分），每条需求必须能落到其中一种证据上。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需求必须可证伪：</w:t>
      </w:r>
      <w:r>
        <w:rPr>
          <w:rFonts w:ascii="Times New Roman" w:hAnsi="Times New Roman" w:eastAsia="微软雅黑" w:cs="Times New Roman"/>
          <w:color w:val="2D2D2D"/>
          <w:sz w:val="21"/>
        </w:rPr>
        <w:t>把“系统要安全”改写成“违禁商品在任何放行投票下仍被冻结（C8 剧本 + 审计日志）”，需求才有验收意义。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1.8  多 Agent 协作拓扑与消息寻址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星型不是层级：</w:t>
      </w:r>
      <w:r>
        <w:rPr>
          <w:rFonts w:ascii="Times New Roman" w:hAnsi="Times New Roman" w:eastAsia="微软雅黑" w:cs="Times New Roman"/>
          <w:color w:val="2D2D2D"/>
          <w:sz w:val="21"/>
        </w:rPr>
        <w:t>协调者处于拓扑中心但只负责编排、仲裁与熔断，业务计算全部外放到专家节点；专家之间允许按既定契约横向直连（如议价节点直接读取信用风险意见），避免所有消息都在中心排队。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消息寻址三要素：</w:t>
      </w:r>
      <w:r>
        <w:rPr>
          <w:rFonts w:ascii="Times New Roman" w:hAnsi="Times New Roman" w:eastAsia="微软雅黑" w:cs="Times New Roman"/>
          <w:color w:val="2D2D2D"/>
          <w:sz w:val="21"/>
        </w:rPr>
        <w:t>sender/receiver 用注册名寻址，conversation_id 定位业务线程，graph_thread_id 定位检查点；三要素齐备，任意一条消息都能被唯一投递并回放。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协作强度分四类：</w:t>
      </w:r>
      <w:r>
        <w:rPr>
          <w:rFonts w:ascii="Times New Roman" w:hAnsi="Times New Roman" w:eastAsia="微软雅黑" w:cs="Times New Roman"/>
          <w:color w:val="2D2D2D"/>
          <w:sz w:val="21"/>
        </w:rPr>
        <w:t>常规业务（蓝）、议价/定价（金）、审核/仲裁安全（红）、信用/风险（绿），在拓扑图中以颜色区分链路，为后续链路级监控与耗时统计建立分类口径。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608"/>
        <w:gridCol w:w="1134"/>
        <w:gridCol w:w="3061"/>
        <w:gridCol w:w="2154"/>
      </w:tblGrid>
      <w:tr>
        <w:trPr>
          <w:tblHeader/>
          <w:cantSplit/>
        </w:trPr>
        <w:tc>
          <w:tcPr>
            <w:tcW w:type="dxa" w:w="260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学习资料 / 文献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类型</w:t>
            </w:r>
          </w:p>
        </w:tc>
        <w:tc>
          <w:tcPr>
            <w:tcW w:type="dxa" w:w="306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本周核心收获</w:t>
            </w:r>
          </w:p>
        </w:tc>
        <w:tc>
          <w:tcPr>
            <w:tcW w:type="dxa" w:w="215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落地到项目的位置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FIPA ACL Message Structure Specification（SC00061）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通信规范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信封字段、言语行为语义、会话标识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ACL 消息协议定稿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SQLModel / Pydantic v2 官方文档（校验章节）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技术文档</w:t>
            </w:r>
          </w:p>
        </w:tc>
        <w:tc>
          <w:tcPr>
            <w:tcW w:type="dxa" w:w="306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强类型契约、校验器、模型与表合一</w:t>
            </w:r>
          </w:p>
        </w:tc>
        <w:tc>
          <w:tcPr>
            <w:tcW w:type="dxa" w:w="215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11 张表与全部 I/O Schema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《SQLite 锁与并发》官方文档（WAL 章节）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技术文档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多读单写、乐观版本号、事务边界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预占锁 + version 并发方案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自动谈判：单调让步协议与纳什解（综述笔记）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论文/综述</w:t>
            </w:r>
          </w:p>
        </w:tc>
        <w:tc>
          <w:tcPr>
            <w:tcW w:type="dxa" w:w="306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让步单调性、时间压力、纳什乘积</w:t>
            </w:r>
          </w:p>
        </w:tc>
        <w:tc>
          <w:tcPr>
            <w:tcW w:type="dxa" w:w="215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议价 Agent 出价规则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/>
                <w:color w:val="2D2D2D"/>
                <w:sz w:val="17"/>
              </w:rPr>
              <w:t>Human-in-the-loop Agent 中断恢复实践（2025）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工程文章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interrupt 挂起、人工写回、状态恢复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三级人工兜底与 gates 设计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本周学习资料与文献阅读记录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02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本周完成的项目内容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本周按照“契约先行、状态收口、需求可验”的思路，完成了九张 Agent 角色卡片、ACL 消息协议、ER 详细设计、商品/订单状态机四项详细设计产出，并完成 SRS V1.0/V1.1 两轮需求迭代，全部成果以可直接指导编码的规范文档形式沉淀。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2.1  九张 Agent 角色卡片定稿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为 1 个协调者与 8 个专家 Agent 各编制一张角色卡片，统一包含“职责边界、输入契约、输出契约、可用工具、异常码、协作对象”六项内容，作为后续编码与测试的唯一依据。九张卡片的契约摘要如下表。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84"/>
        <w:gridCol w:w="2438"/>
        <w:gridCol w:w="2381"/>
        <w:gridCol w:w="2154"/>
      </w:tblGrid>
      <w:tr>
        <w:trPr>
          <w:tblHeader/>
          <w:cantSplit/>
        </w:trPr>
        <w:tc>
          <w:tcPr>
            <w:tcW w:type="dxa" w:w="198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Agent</w:t>
            </w:r>
          </w:p>
        </w:tc>
        <w:tc>
          <w:tcPr>
            <w:tcW w:type="dxa" w:w="2438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输入契约（摘要）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输出契约（摘要）</w:t>
            </w:r>
          </w:p>
        </w:tc>
        <w:tc>
          <w:tcPr>
            <w:tcW w:type="dxa" w:w="215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关键工具 / 异常码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协调管理 Coordinator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用户请求、各 Agent 上报、冲突事件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分派指令、裁决、流程跳转/熔断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注册表、效用评分器 / E-501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用户代理 UserAgent</w:t>
            </w:r>
          </w:p>
        </w:tc>
        <w:tc>
          <w:tcPr>
            <w:tcW w:type="dxa" w:w="243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自然语言指令、画像、对方报价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结构化意图、出价、确认请求</w:t>
            </w:r>
          </w:p>
        </w:tc>
        <w:tc>
          <w:tcPr>
            <w:tcW w:type="dxa" w:w="215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LLM 意图模型 / E-401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商品管理 Goods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描述文本、类目、历史成交价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标准商品档案、建议价区间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分位数定价 / E-103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内容审核 Moderation</w:t>
            </w:r>
          </w:p>
        </w:tc>
        <w:tc>
          <w:tcPr>
            <w:tcW w:type="dxa" w:w="243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商品档案、用户历史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通过/驳回/复核 + 置信度 + 依据</w:t>
            </w:r>
          </w:p>
        </w:tc>
        <w:tc>
          <w:tcPr>
            <w:tcW w:type="dxa" w:w="215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违禁词库、LLM / E-403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搜索推荐 Search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检索条件、画像、在售商品池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排序列表 + 匹配理由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综合排序器 / E-104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议价谈判 Negotiation</w:t>
            </w:r>
          </w:p>
        </w:tc>
        <w:tc>
          <w:tcPr>
            <w:tcW w:type="dxa" w:w="243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双边底价、轮次、时限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撮合价 / 破裂结论、议价记录</w:t>
            </w:r>
          </w:p>
        </w:tc>
        <w:tc>
          <w:tcPr>
            <w:tcW w:type="dxa" w:w="215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纳什价、让步策略 / E-301/302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交易履约 Order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成交事件、支付/交付事件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订单状态、锁令牌、结算结果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状态机、预占锁 / E-201/202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信用评价 Credit</w:t>
            </w:r>
          </w:p>
        </w:tc>
        <w:tc>
          <w:tcPr>
            <w:tcW w:type="dxa" w:w="2438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评价、履约记录、举报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信用分、风险标签、置信度意见</w:t>
            </w:r>
          </w:p>
        </w:tc>
        <w:tc>
          <w:tcPr>
            <w:tcW w:type="dxa" w:w="215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信用分规则 / E-105</w:t>
            </w:r>
          </w:p>
        </w:tc>
      </w:tr>
      <w:tr>
        <w:trPr>
          <w:cantSplit/>
        </w:trPr>
        <w:tc>
          <w:tcPr>
            <w:tcW w:type="dxa" w:w="198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纠纷仲裁 Arbitrator</w:t>
            </w:r>
          </w:p>
        </w:tc>
        <w:tc>
          <w:tcPr>
            <w:tcW w:type="dxa" w:w="2438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申诉、全链路证据包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结构化裁决书、处罚建议</w:t>
            </w:r>
          </w:p>
        </w:tc>
        <w:tc>
          <w:tcPr>
            <w:tcW w:type="dxa" w:w="215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规则库、人工门 / E-502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九张 Agent 角色卡片契约摘要（1 协调者 + 8 专家）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2.2  ACL 消息协议定稿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参照 FIPA ACL 规范，定义全系统唯一合法的通信单元 AclEnvelope：所有出站消息必须经 Schema 校验，缺字段或非法 performative 一律拒收并返回标准异常码；信封内置 reply() 方法自动翻转收发方并延续会话，避免手工拼装出错。消息结构如图 1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4896000" cy="339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acl_envelo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39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1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AclEnvelope 统一消息信封字段结构（FIPA ACL 风格）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40" w:type="dxa"/>
          <w:left w:w="160" w:type="dxa"/>
          <w:bottom w:w="8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5F7FA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</w:tcPr>
          <w:p>
            <w:pPr>
              <w:spacing w:after="40"/>
            </w:pPr>
            <w:r/>
            <w:r>
              <w:rPr>
                <w:rFonts w:ascii="Consolas" w:hAnsi="Consolas" w:eastAsia="微软雅黑" w:cs="Consolas"/>
                <w:b/>
                <w:color w:val="2E5C8A"/>
                <w:sz w:val="17"/>
              </w:rPr>
              <w:t xml:space="preserve">  app/kernel/acl.py（核心定义）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class Performative(str, Enum):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REQUEST = "request";   INFORM    = "inform"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PROPOSE = "propose";   ACCEPT    = "accept"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REJECT  = "reject";    REFUSE    = "refuse"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ARBITRATE = "arbitrate"; VETO    = "veto"; INTERRUPT = "interrupt"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>class AclEnvelope(BaseModel):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"""Agent 间唯一合法通信单元，出站必须经此模型校验。"""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conversation_id: str = Field(min_length=1, max_length=80)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performative: Perf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sender:   str = Field(min_length=1, max_length=32)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receiver: str = Field(min_length=1, max_length=32)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payload:  dict[str, Any] = Field(default_factory=dict)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confidence: float = Field(default=1.0, ge=0.0, le=1.0)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timeout: int | None = None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error_code: str | None = Field(default=None, max_length=32)</w:t>
            </w:r>
          </w:p>
          <w:p>
            <w:pPr>
              <w:spacing w:line="252" w:lineRule="auto" w:after="0"/>
            </w:pPr>
            <w:r>
              <w:rPr>
                <w:rFonts w:ascii="Consolas" w:hAnsi="Consolas" w:eastAsia="微软雅黑" w:cs="Consolas"/>
                <w:color w:val="1B2A3A"/>
                <w:sz w:val="17"/>
              </w:rPr>
              <w:t xml:space="preserve">    msg_id: str = Field(default_factory=lambda: f"msg-{uuid4().hex[:12]}")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814"/>
        <w:gridCol w:w="3005"/>
        <w:gridCol w:w="4139"/>
      </w:tblGrid>
      <w:tr>
        <w:trPr>
          <w:tblHeader/>
          <w:cantSplit/>
        </w:trPr>
        <w:tc>
          <w:tcPr>
            <w:tcW w:type="dxa" w:w="181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异常码</w:t>
            </w:r>
          </w:p>
        </w:tc>
        <w:tc>
          <w:tcPr>
            <w:tcW w:type="dxa" w:w="3005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4139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触发场景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E-101 / E-102</w:t>
            </w:r>
          </w:p>
        </w:tc>
        <w:tc>
          <w:tcPr>
            <w:tcW w:type="dxa" w:w="300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字段缺失 / 非法言语行为</w:t>
            </w:r>
          </w:p>
        </w:tc>
        <w:tc>
          <w:tcPr>
            <w:tcW w:type="dxa" w:w="413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ACL 信封 Schema 校验失败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E-201 / E-202</w:t>
            </w:r>
          </w:p>
        </w:tc>
        <w:tc>
          <w:tcPr>
            <w:tcW w:type="dxa" w:w="300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商品已被预占 / 非法状态迁移</w:t>
            </w:r>
          </w:p>
        </w:tc>
        <w:tc>
          <w:tcPr>
            <w:tcW w:type="dxa" w:w="413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并发抢单、状态机守卫被触发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E-301 / E-302</w:t>
            </w:r>
          </w:p>
        </w:tc>
        <w:tc>
          <w:tcPr>
            <w:tcW w:type="dxa" w:w="300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让步违例 / 议价超时破裂</w:t>
            </w:r>
          </w:p>
        </w:tc>
        <w:tc>
          <w:tcPr>
            <w:tcW w:type="dxa" w:w="413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买价下降、卖价上升或超过 120 秒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E-401 / E-403</w:t>
            </w:r>
          </w:p>
        </w:tc>
        <w:tc>
          <w:tcPr>
            <w:tcW w:type="dxa" w:w="300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LLM 输出校验失败 / 安全否决</w:t>
            </w:r>
          </w:p>
        </w:tc>
        <w:tc>
          <w:tcPr>
            <w:tcW w:type="dxa" w:w="413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模型格式漂移重试失败、命中违禁</w:t>
            </w:r>
          </w:p>
        </w:tc>
      </w:tr>
      <w:tr>
        <w:trPr>
          <w:cantSplit/>
        </w:trPr>
        <w:tc>
          <w:tcPr>
            <w:tcW w:type="dxa" w:w="1814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E-501 / E-502</w:t>
            </w:r>
          </w:p>
        </w:tc>
        <w:tc>
          <w:tcPr>
            <w:tcW w:type="dxa" w:w="300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Agent 已熔断 / 证据包不完整</w:t>
            </w:r>
          </w:p>
        </w:tc>
        <w:tc>
          <w:tcPr>
            <w:tcW w:type="dxa" w:w="413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熔断隔离、仲裁材料不足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统一异常码表（节选，编码分段管理）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2.3  数据库 ER 详细设计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采用 SQLModel 模型即表的方式规划 11 张核心表：业务域 7 张（用户、商品、议价、出价、订单、评价、申诉），系统域 4 张（ACL 消息、冲突事件、Agent 状态、审计日志）。业务表服务交易主链路，系统表服务可观测、冲突处置与答辩演示的轨迹回放。ER 关系如图 2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596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596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2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11 张核心表的实体关系（ER）设计图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2041"/>
        <w:gridCol w:w="2381"/>
        <w:gridCol w:w="4536"/>
      </w:tblGrid>
      <w:tr>
        <w:trPr>
          <w:tblHeader/>
          <w:cantSplit/>
        </w:trPr>
        <w:tc>
          <w:tcPr>
            <w:tcW w:type="dxa" w:w="204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38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模型类</w:t>
            </w:r>
          </w:p>
        </w:tc>
        <w:tc>
          <w:tcPr>
            <w:tcW w:type="dxa" w:w="4536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核心职责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users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User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学号账号、角色、信用分、冻结状态、bcrypt 口令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items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Item</w:t>
            </w:r>
          </w:p>
        </w:tc>
        <w:tc>
          <w:tcPr>
            <w:tcW w:type="dxa" w:w="453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商品档案、八态状态、version 乐观锁与预占锁字段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negotiations / offers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Negotiation / Offer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议价会话元数据与每一轮出价记录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orders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Order</w:t>
            </w:r>
          </w:p>
        </w:tc>
        <w:tc>
          <w:tcPr>
            <w:tcW w:type="dxa" w:w="453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订单状态机、锁令牌、金额与支付/交付时间点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reviews / appeals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Review / Appeal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一单一次双向评价、申诉证据与裁决结果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acl_messages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AclMessage</w:t>
            </w:r>
          </w:p>
        </w:tc>
        <w:tc>
          <w:tcPr>
            <w:tcW w:type="dxa" w:w="453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全部 ACL 消息留痕，支持会话轨迹回放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conflict_events</w:t>
            </w:r>
          </w:p>
        </w:tc>
        <w:tc>
          <w:tcPr>
            <w:tcW w:type="dxa" w:w="238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ConflictEvent</w:t>
            </w:r>
          </w:p>
        </w:tc>
        <w:tc>
          <w:tcPr>
            <w:tcW w:type="dxa" w:w="4536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冲突类型、级别、处置结果的全程审计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agent_status / audit_logs</w:t>
            </w:r>
          </w:p>
        </w:tc>
        <w:tc>
          <w:tcPr>
            <w:tcW w:type="dxa" w:w="238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AgentStatus / AuditLog</w:t>
            </w:r>
          </w:p>
        </w:tc>
        <w:tc>
          <w:tcPr>
            <w:tcW w:type="dxa" w:w="4536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Agent 健康熔断位与人工/系统动作日志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4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11 张核心表清单与职责分工</w:t>
      </w:r>
    </w:p>
    <w:p>
      <w:pPr>
        <w:spacing w:after="4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AF7EE"/>
            <w:tcBorders>
              <w:top w:val="single" w:sz="4" w:space="0" w:color="C9A84C"/>
              <w:left w:val="single" w:sz="30" w:space="0" w:color="C9A84C"/>
              <w:bottom w:val="single" w:sz="4" w:space="0" w:color="C9A84C"/>
              <w:right w:val="single" w:sz="4" w:space="0" w:color="C9A84C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9A7A24"/>
                <w:sz w:val="21"/>
              </w:rPr>
              <w:t>◆  ER 设计三条原则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① 状态唯一：商品/订单状态只以数据库与黑板中的值为准，Agent 内存状态不允许成为事实源；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② 写必带版本：所有 UPDATE 携带 version，并发写冲突时让影响行数为 0 的一方失败并重试；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③ 动作必留痕：消息、冲突、人工裁决全部落库，答辩时可以按线程逐步回放任意一笔交易。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2.4  商品与订单状态机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商品设计为“草稿 / 待审核 / 在售 / 被锁定 / 已成交 / 下架 / 驳回 / 冻结”八态，订单设计为“已创建 → 待支付 → 已支付 → 待收货 → 已完成 → 已评价”主链，加“已取消”“申诉中 →（已完成 | 已退款）”异常分支。订单状态机如图 3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84000" cy="27897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order_st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4000" cy="27897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3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订单状态机：主链路 + 超时取消 + 申诉裁决分支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27"/>
        <w:gridCol w:w="2835"/>
        <w:gridCol w:w="4195"/>
      </w:tblGrid>
      <w:tr>
        <w:trPr>
          <w:tblHeader/>
          <w:cantSplit/>
        </w:trPr>
        <w:tc>
          <w:tcPr>
            <w:tcW w:type="dxa" w:w="192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商品状态</w:t>
            </w:r>
          </w:p>
        </w:tc>
        <w:tc>
          <w:tcPr>
            <w:tcW w:type="dxa" w:w="2835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4195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允许的迁出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草稿 / 待审核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卖家建档提交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审核通过→在售；驳回→驳回（补材料可重提 1 次）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在售</w:t>
            </w:r>
          </w:p>
        </w:tc>
        <w:tc>
          <w:tcPr>
            <w:tcW w:type="dxa" w:w="283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审核通过已上架</w:t>
            </w:r>
          </w:p>
        </w:tc>
        <w:tc>
          <w:tcPr>
            <w:tcW w:type="dxa" w:w="419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买家下单→被锁定；卖家可主动下架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被锁定</w:t>
            </w:r>
          </w:p>
        </w:tc>
        <w:tc>
          <w:tcPr>
            <w:tcW w:type="dxa" w:w="283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持锁订单预占成功</w:t>
            </w:r>
          </w:p>
        </w:tc>
        <w:tc>
          <w:tcPr>
            <w:tcW w:type="dxa" w:w="419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支付成功→已成交；超时/失败→在售（释放锁）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已成交 / 下架 / 冻结</w:t>
            </w:r>
          </w:p>
        </w:tc>
        <w:tc>
          <w:tcPr>
            <w:tcW w:type="dxa" w:w="283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终态</w:t>
            </w:r>
          </w:p>
        </w:tc>
        <w:tc>
          <w:tcPr>
            <w:tcW w:type="dxa" w:w="419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终态不可变更；冻结由审核 veto 触发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5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商品八态状态迁移说明（订单状态见图 3）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2.5  SRS V1.0 / V1.1 需求迭代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国庆假期前后完成需求文档前两轮迭代：V1.0 完成业务调研与初稿，V1.1 补全异常链路并明确范围边界。每一版均记录修订人、审核人与日期，形成可追溯的需求演化链。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020"/>
        <w:gridCol w:w="1304"/>
        <w:gridCol w:w="1587"/>
        <w:gridCol w:w="4025"/>
        <w:gridCol w:w="1020"/>
      </w:tblGrid>
      <w:tr>
        <w:trPr>
          <w:tblHeader/>
          <w:cantSplit/>
        </w:trPr>
        <w:tc>
          <w:tcPr>
            <w:tcW w:type="dxa" w:w="102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30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158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025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主要修订内容</w:t>
            </w:r>
          </w:p>
        </w:tc>
        <w:tc>
          <w:tcPr>
            <w:tcW w:type="dxa" w:w="102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020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V1.0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2026-10-01</w:t>
            </w:r>
          </w:p>
        </w:tc>
        <w:tc>
          <w:tcPr>
            <w:tcW w:type="dxa" w:w="1587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业务调研 / 初稿</w:t>
            </w:r>
          </w:p>
        </w:tc>
        <w:tc>
          <w:tcPr>
            <w:tcW w:type="dxa" w:w="4025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核心交易链路调研；四大痛点；用户角色与主链路初稿</w:t>
            </w:r>
          </w:p>
        </w:tc>
        <w:tc>
          <w:tcPr>
            <w:tcW w:type="dxa" w:w="1020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已归档</w:t>
            </w:r>
          </w:p>
        </w:tc>
      </w:tr>
      <w:tr>
        <w:trPr>
          <w:cantSplit/>
        </w:trPr>
        <w:tc>
          <w:tcPr>
            <w:tcW w:type="dxa" w:w="1020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V1.1</w:t>
            </w:r>
          </w:p>
        </w:tc>
        <w:tc>
          <w:tcPr>
            <w:tcW w:type="dxa" w:w="130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2026-10-03</w:t>
            </w:r>
          </w:p>
        </w:tc>
        <w:tc>
          <w:tcPr>
            <w:tcW w:type="dxa" w:w="1587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需求补充</w:t>
            </w:r>
          </w:p>
        </w:tc>
        <w:tc>
          <w:tcPr>
            <w:tcW w:type="dxa" w:w="4025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补全申诉/退换/仲裁异常链路；功能与非功能需求雏形；明确不做真实支付与物流</w:t>
            </w:r>
          </w:p>
        </w:tc>
        <w:tc>
          <w:tcPr>
            <w:tcW w:type="dxa" w:w="1020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已归档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6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SRS V1.0 → V1.1 修订记录</w:t>
      </w:r>
    </w:p>
    <w:p>
      <w:pPr>
        <w:spacing w:after="4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2F5F9"/>
            <w:tcBorders>
              <w:top w:val="single" w:sz="4" w:space="0" w:color="1F3A5F"/>
              <w:left w:val="single" w:sz="30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21"/>
              </w:rPr>
              <w:t>■  范围边界（V1.1 首次明确，后续各版沿用）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做：校园内二手实物商品的完整交易旅程、模拟支付、Agent 协作与冲突机制；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不做：真实支付通道与资金清算、真实物流、校方统一认证对接、原生移动 App、生产级高并发集群。</w:t>
            </w:r>
          </w:p>
        </w:tc>
      </w:tr>
    </w:tbl>
    <w:p>
      <w:pPr>
        <w:spacing w:after="8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EDF2F8"/>
            <w:tcBorders>
              <w:top w:val="single" w:sz="4" w:space="0" w:color="2E5C8A"/>
              <w:left w:val="single" w:sz="30" w:space="0" w:color="2E5C8A"/>
              <w:bottom w:val="single" w:sz="4" w:space="0" w:color="2E5C8A"/>
              <w:right w:val="single" w:sz="4" w:space="0" w:color="2E5C8A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2E5C8A"/>
                <w:sz w:val="21"/>
              </w:rPr>
              <w:t>✦  本周产出物清单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① 九张 Agent 角色卡片（含 I/O 契约、工具、异常码）；② 《ACL 消息协议规范》与统一异常码表；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③ ER 详细设计（11 张表）与商品/订单状态机图；④ SRS V1.0、V1.1 两版需求文档；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⑤ 两篇多智能体协商 / 人机协同方向文献的精读笔记。</w:t>
            </w:r>
          </w:p>
        </w:tc>
      </w:tr>
    </w:tbl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2.6  九 Agent 协作拓扑定稿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把九张角色卡片之间的全部协作关系画成拓扑图：中心是协调者，8 个专家沿圆周分布，虚线为协调者编排指令，彩色实线为专家间的 11 条业务直连，并按四类协作强度着色。该图作为开发期接口对接与答辩讲解的“总地图”，如图 4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8777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topolog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877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4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九 Agent 协作关系拓扑：编排虚线 + 四类业务直连 + 消息寻址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1927"/>
        <w:gridCol w:w="3061"/>
        <w:gridCol w:w="3969"/>
      </w:tblGrid>
      <w:tr>
        <w:trPr>
          <w:tblHeader/>
          <w:cantSplit/>
        </w:trPr>
        <w:tc>
          <w:tcPr>
            <w:tcW w:type="dxa" w:w="1927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协作链路（颜色）</w:t>
            </w:r>
          </w:p>
        </w:tc>
        <w:tc>
          <w:tcPr>
            <w:tcW w:type="dxa" w:w="3061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代表关系</w:t>
            </w:r>
          </w:p>
        </w:tc>
        <w:tc>
          <w:tcPr>
            <w:tcW w:type="dxa" w:w="3969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设计要点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常规业务（蓝）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建档送审、在售池检索、匹配推荐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高频短消息，走总线直发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议价/定价（金）</w:t>
            </w:r>
          </w:p>
        </w:tc>
        <w:tc>
          <w:tcPr>
            <w:tcW w:type="dxa" w:w="306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出价授权、建议价、成交锁单</w:t>
            </w:r>
          </w:p>
        </w:tc>
        <w:tc>
          <w:tcPr>
            <w:tcW w:type="dxa" w:w="396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携带轮次与时限，违例即拒收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审核/仲裁安全（红）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复核、风险意见、订单凭证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结论含置信度，veto 直达终态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信用/风险（绿）</w:t>
            </w:r>
          </w:p>
        </w:tc>
        <w:tc>
          <w:tcPr>
            <w:tcW w:type="dxa" w:w="3061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履约记录、风险信号外溢</w:t>
            </w:r>
          </w:p>
        </w:tc>
        <w:tc>
          <w:tcPr>
            <w:tcW w:type="dxa" w:w="396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异步订阅，不阻塞主链路</w:t>
            </w:r>
          </w:p>
        </w:tc>
      </w:tr>
      <w:tr>
        <w:trPr>
          <w:cantSplit/>
        </w:trPr>
        <w:tc>
          <w:tcPr>
            <w:tcW w:type="dxa" w:w="1927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协调编排（灰虚线）</w:t>
            </w:r>
          </w:p>
        </w:tc>
        <w:tc>
          <w:tcPr>
            <w:tcW w:type="dxa" w:w="3061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任务分派、熔断代管、终裁写回</w:t>
            </w:r>
          </w:p>
        </w:tc>
        <w:tc>
          <w:tcPr>
            <w:tcW w:type="dxa" w:w="396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只走协调者，全程留痕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8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拓扑中的五类协作链路与设计要点</w:t>
      </w:r>
    </w:p>
    <w:p>
      <w:pPr>
        <w:keepNext/>
        <w:spacing w:before="220" w:after="80"/>
        <w:outlineLvl w:val="1"/>
      </w:pPr>
      <w:r>
        <w:rPr>
          <w:rFonts w:ascii="Times New Roman" w:hAnsi="Times New Roman" w:eastAsia="微软雅黑" w:cs="Times New Roman"/>
          <w:b/>
          <w:color w:val="2E5C8A"/>
          <w:sz w:val="24"/>
        </w:rPr>
        <w:t>2.7  ACL 会话生命周期状态机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仅有信封结构还不够，会话本身也需要状态机约束。把一次 ACL 会话建模为 INIT → PROPOSE → COUNTER →（ACCEPTED / REJECTED / REFUSED / ARBITRATING → VETOED）的生命周期，所有迁移由 performative 驱动；ARBITRATING 可经人工写回 Command(resume) 恢复主流程，如图 5 所示。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99614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3_acl_conversa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996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图 5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ACL 会话生命周期与九种言语行为驱动的状态流转</w:t>
      </w:r>
    </w:p>
    <w:tbl>
      <w:tblPr>
        <w:tblW w:type="dxa" w:w="8686"/>
        <w:jc w:val="center"/>
        <w:tblLook w:firstColumn="1" w:firstRow="1" w:lastColumn="0" w:lastRow="0" w:noHBand="0" w:noVBand="1" w:val="04A0"/>
        <w:tblBorders>
          <w:top w:val="single" w:sz="10" w:space="0" w:color="FFFFFF"/>
          <w:left w:val="single" w:sz="10" w:space="0" w:color="FFFFFF"/>
          <w:bottom w:val="single" w:sz="10" w:space="0" w:color="FFFFFF"/>
          <w:right w:val="single" w:sz="10" w:space="0" w:color="FFFFFF"/>
          <w:insideH w:val="single" w:sz="10" w:space="0" w:color="FFFFFF"/>
          <w:insideV w:val="single" w:sz="10" w:space="0" w:color="FFFFFF"/>
        </w:tblBorders>
        <w:tblLayout w:type="fixed"/>
        <w:tblCellMar>
          <w:top w:w="90" w:type="dxa"/>
          <w:left w:w="80" w:type="dxa"/>
          <w:bottom w:w="90" w:type="dxa"/>
          <w:right w:w="80" w:type="dxa"/>
        </w:tblCellMar>
      </w:tblPr>
      <w:tblGrid>
        <w:gridCol w:w="2171"/>
        <w:gridCol w:w="2171"/>
        <w:gridCol w:w="2171"/>
        <w:gridCol w:w="2171"/>
      </w:tblGrid>
      <w:tr>
        <w:trPr>
          <w:cantSplit/>
        </w:trPr>
        <w:tc>
          <w:tcPr>
            <w:tcW w:type="dxa" w:w="2171"/>
            <w:shd w:val="clear" w:color="auto" w:fill="F2F5F9"/>
            <w:tcBorders>
              <w:top w:val="single" w:sz="4" w:space="0" w:color="1F3A5F"/>
              <w:left w:val="single" w:sz="4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32"/>
              </w:rPr>
              <w:t>9 类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performative 言语行为</w:t>
            </w:r>
          </w:p>
        </w:tc>
        <w:tc>
          <w:tcPr>
            <w:tcW w:type="dxa" w:w="2171"/>
            <w:shd w:val="clear" w:color="auto" w:fill="EDF2F8"/>
            <w:tcBorders>
              <w:top w:val="single" w:sz="4" w:space="0" w:color="2E5C8A"/>
              <w:left w:val="single" w:sz="4" w:space="0" w:color="2E5C8A"/>
              <w:bottom w:val="single" w:sz="4" w:space="0" w:color="2E5C8A"/>
              <w:right w:val="single" w:sz="4" w:space="0" w:color="2E5C8A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2E5C8A"/>
                <w:sz w:val="32"/>
              </w:rPr>
              <w:t>8 个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会话状态节点</w:t>
            </w:r>
          </w:p>
        </w:tc>
        <w:tc>
          <w:tcPr>
            <w:tcW w:type="dxa" w:w="2171"/>
            <w:shd w:val="clear" w:color="auto" w:fill="FAF7EE"/>
            <w:tcBorders>
              <w:top w:val="single" w:sz="4" w:space="0" w:color="9A7A24"/>
              <w:left w:val="single" w:sz="4" w:space="0" w:color="9A7A24"/>
              <w:bottom w:val="single" w:sz="4" w:space="0" w:color="9A7A24"/>
              <w:right w:val="single" w:sz="4" w:space="0" w:color="9A7A24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9A7A24"/>
                <w:sz w:val="32"/>
              </w:rPr>
              <w:t>11 条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专家间业务直连</w:t>
            </w:r>
          </w:p>
        </w:tc>
        <w:tc>
          <w:tcPr>
            <w:tcW w:type="dxa" w:w="2171"/>
            <w:shd w:val="clear" w:color="auto" w:fill="FBEDEC"/>
            <w:tcBorders>
              <w:top w:val="single" w:sz="4" w:space="0" w:color="B5483D"/>
              <w:left w:val="single" w:sz="4" w:space="0" w:color="B5483D"/>
              <w:bottom w:val="single" w:sz="4" w:space="0" w:color="B5483D"/>
              <w:right w:val="single" w:sz="4" w:space="0" w:color="B5483D"/>
            </w:tcBorders>
            <w:vAlign w:val="center"/>
          </w:tcPr>
          <w:p>
            <w:pPr>
              <w:spacing w:after="20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B5483D"/>
                <w:sz w:val="32"/>
              </w:rPr>
              <w:t>15 个</w:t>
            </w:r>
          </w:p>
          <w:p>
            <w:pPr>
              <w:spacing w:before="0" w:after="0"/>
              <w:jc w:val="center"/>
            </w:pPr>
            <w:r>
              <w:rPr>
                <w:rFonts w:ascii="Times New Roman" w:hAnsi="Times New Roman" w:eastAsia="微软雅黑" w:cs="Times New Roman"/>
                <w:color w:val="6E7785"/>
                <w:sz w:val="16"/>
              </w:rPr>
              <w:t>分段管理异常码</w:t>
            </w:r>
          </w:p>
        </w:tc>
      </w:tr>
    </w:tbl>
    <w:p>
      <w:pPr>
        <w:spacing w:after="6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EAF3EE"/>
            <w:tcBorders>
              <w:top w:val="single" w:sz="4" w:space="0" w:color="4E8A6B"/>
              <w:left w:val="single" w:sz="30" w:space="0" w:color="4E8A6B"/>
              <w:bottom w:val="single" w:sz="4" w:space="0" w:color="4E8A6B"/>
              <w:right w:val="single" w:sz="4" w:space="0" w:color="4E8A6B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4E8A6B"/>
                <w:sz w:val="21"/>
              </w:rPr>
              <w:t>◆  协议一致性自测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用 30 条越界消息（缺字段、错枚举、逆序 performative）做模糊测试：27 条被 Schema 直接拒收，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3 条进入状态机守卫后以非法迁移拒绝（E-202），无一条消息能绕过状态约束改写字段。</w:t>
            </w:r>
          </w:p>
        </w:tc>
      </w:tr>
    </w:tbl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03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存在的问题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详细设计把很多第 1 周“凭感觉”的决定逼到了必须给字段、给阈值的程度，复盘后梳理出以下尚待解决的问题：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1　异常码难以一次穷举：</w:t>
      </w:r>
      <w:r>
        <w:rPr>
          <w:rFonts w:ascii="Times New Roman" w:hAnsi="Times New Roman" w:eastAsia="微软雅黑" w:cs="Times New Roman"/>
          <w:color w:val="2D2D2D"/>
          <w:sz w:val="21"/>
        </w:rPr>
        <w:t>当前 15 个异常码是按主链路推演得到的，随着 LLM 降级、WebSocket 断线等场景进入实现，预计还会补充通信类与超时类编码。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2　纳什参考价缺少真实底价：</w:t>
      </w:r>
      <w:r>
        <w:rPr>
          <w:rFonts w:ascii="Times New Roman" w:hAnsi="Times New Roman" w:eastAsia="微软雅黑" w:cs="Times New Roman"/>
          <w:color w:val="2D2D2D"/>
          <w:sz w:val="21"/>
        </w:rPr>
        <w:t>纳什解需要双方保留价，实际系统中底价是用户私有的，只能用历史成交价与出价轨迹估计，估计偏差对成交率的影响需要实验观察。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3　ACL 消息全部落库的存储压力：</w:t>
      </w:r>
      <w:r>
        <w:rPr>
          <w:rFonts w:ascii="Times New Roman" w:hAnsi="Times New Roman" w:eastAsia="微软雅黑" w:cs="Times New Roman"/>
          <w:color w:val="2D2D2D"/>
          <w:sz w:val="21"/>
        </w:rPr>
        <w:t>议价高峰期 acl_messages 表增长很快，需要区分“留痕消息”与“高频心跳”，后续考虑心跳只入检查点不进业务库。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4　框架选型尚未实测：</w:t>
      </w:r>
      <w:r>
        <w:rPr>
          <w:rFonts w:ascii="Times New Roman" w:hAnsi="Times New Roman" w:eastAsia="微软雅黑" w:cs="Times New Roman"/>
          <w:color w:val="2D2D2D"/>
          <w:sz w:val="21"/>
        </w:rPr>
        <w:t>LangGraph 的条件边、检查点、interrupt 是否如文档所述顺手，仍需用最小原型验证，不能只凭资料做决定。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5　模型层异步与同步混用风险：</w:t>
      </w:r>
      <w:r>
        <w:rPr>
          <w:rFonts w:ascii="Times New Roman" w:hAnsi="Times New Roman" w:eastAsia="微软雅黑" w:cs="Times New Roman"/>
          <w:color w:val="2D2D2D"/>
          <w:sz w:val="21"/>
        </w:rPr>
        <w:t>SQLModel 同步接口简单，FastAPI 异步接口高性能，种子脚本与运行期若混用 session，可能出现事件环阻塞，需要统一数据访问方式。</w:t>
      </w:r>
    </w:p>
    <w:p>
      <w:pPr>
        <w:spacing w:line="300" w:lineRule="auto" w:after="40"/>
        <w:ind w:left="240" w:hanging="240"/>
      </w:pPr>
      <w:r>
        <w:rPr>
          <w:rFonts w:ascii="Times New Roman" w:hAnsi="Times New Roman" w:eastAsia="微软雅黑" w:cs="Times New Roman"/>
          <w:b/>
          <w:color w:val="C9A84C"/>
          <w:sz w:val="17"/>
        </w:rPr>
        <w:t xml:space="preserve">●　</w:t>
      </w:r>
      <w:r>
        <w:rPr>
          <w:rFonts w:ascii="Times New Roman" w:hAnsi="Times New Roman" w:eastAsia="微软雅黑" w:cs="Times New Roman"/>
          <w:b/>
          <w:color w:val="1F3A5F"/>
          <w:sz w:val="21"/>
        </w:rPr>
        <w:t>问题 6　需求条目还缺少量化指标：</w:t>
      </w:r>
      <w:r>
        <w:rPr>
          <w:rFonts w:ascii="Times New Roman" w:hAnsi="Times New Roman" w:eastAsia="微软雅黑" w:cs="Times New Roman"/>
          <w:color w:val="2D2D2D"/>
          <w:sz w:val="21"/>
        </w:rPr>
        <w:t>V1.1 只有需求雏形，非功能指标（如议价 P95 延迟、并发规模、验收条数）尚未数字定稿，计划在 V4 前补齐。</w:t>
      </w:r>
    </w:p>
    <w:p>
      <w:pPr>
        <w:keepNext/>
        <w:spacing w:before="300" w:after="180" w:line="360" w:lineRule="auto"/>
        <w:shd w:val="clear" w:color="auto" w:fill="1F3A5F"/>
        <w:pBdr>
          <w:bottom w:val="single" w:sz="18" w:space="0" w:color="C9A84C"/>
        </w:pBdr>
        <w:outlineLvl w:val="0"/>
      </w:pP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C9A84C"/>
          <w:sz w:val="27"/>
        </w:rPr>
        <w:t>04</w:t>
      </w:r>
      <w:r>
        <w:rPr>
          <w:rFonts w:ascii="Times New Roman" w:hAnsi="Times New Roman" w:eastAsia="微软雅黑" w:cs="Times New Roman"/>
          <w:sz w:val="26"/>
        </w:rPr>
        <w:t xml:space="preserve">　</w:t>
      </w:r>
      <w:r>
        <w:rPr>
          <w:rFonts w:ascii="Times New Roman" w:hAnsi="Times New Roman" w:eastAsia="微软雅黑" w:cs="Times New Roman"/>
          <w:b/>
          <w:color w:val="FFFFFF"/>
          <w:sz w:val="27"/>
        </w:rPr>
        <w:t>下周计划（2026.10.5 — 2026.10.11）</w:t>
      </w:r>
      <w:r>
        <w:rPr>
          <w:rFonts w:ascii="Times New Roman" w:hAnsi="Times New Roman" w:eastAsia="微软雅黑" w:cs="Times New Roman"/>
          <w:sz w:val="26"/>
        </w:rPr>
        <w:t xml:space="preserve">　</w:t>
      </w:r>
    </w:p>
    <w:p>
      <w:pPr>
        <w:spacing w:line="360" w:lineRule="auto" w:after="40"/>
        <w:ind w:firstLine="420"/>
      </w:pPr>
      <w:r>
        <w:rPr>
          <w:rFonts w:ascii="Times New Roman" w:hAnsi="Times New Roman" w:eastAsia="微软雅黑" w:cs="Times New Roman"/>
          <w:color w:val="2D2D2D"/>
          <w:sz w:val="21"/>
        </w:rPr>
        <w:t>下周是“选型决策周”：对 2026 年仍活跃的多 Agent 框架做时效核查，用最小原型实测 LangGraph 与 AutoGen，并完成 LLM 双通道原型与 SRS 的角色/机制两轮迭代，具体安排如下：</w:t>
      </w:r>
    </w:p>
    <w:tbl>
      <w:tblPr>
        <w:tblW w:type="dxa" w:w="8958"/>
        <w:jc w:val="center"/>
        <w:tblLook w:firstColumn="1" w:firstRow="1" w:lastColumn="0" w:lastRow="0" w:noHBand="0" w:noVBand="1" w:val="04A0"/>
        <w:tblBorders>
          <w:top w:val="single" w:sz="4" w:space="0" w:color="BFCADB"/>
          <w:left w:val="single" w:sz="4" w:space="0" w:color="BFCADB"/>
          <w:bottom w:val="single" w:sz="4" w:space="0" w:color="BFCADB"/>
          <w:right w:val="single" w:sz="4" w:space="0" w:color="BFCADB"/>
          <w:insideH w:val="single" w:sz="4" w:space="0" w:color="BFCADB"/>
          <w:insideV w:val="single" w:sz="4" w:space="0" w:color="BFCADB"/>
        </w:tblBorders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680"/>
        <w:gridCol w:w="1814"/>
        <w:gridCol w:w="5329"/>
        <w:gridCol w:w="1134"/>
      </w:tblGrid>
      <w:tr>
        <w:trPr>
          <w:tblHeader/>
          <w:cantSplit/>
        </w:trPr>
        <w:tc>
          <w:tcPr>
            <w:tcW w:type="dxa" w:w="680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181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计划任务</w:t>
            </w:r>
          </w:p>
        </w:tc>
        <w:tc>
          <w:tcPr>
            <w:tcW w:type="dxa" w:w="5329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具体内容与交付标准</w:t>
            </w:r>
          </w:p>
        </w:tc>
        <w:tc>
          <w:tcPr>
            <w:tcW w:type="dxa" w:w="1134"/>
            <w:shd w:val="clear" w:color="auto" w:fill="1F3A5F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FFFFFF"/>
                <w:sz w:val="18"/>
              </w:rPr>
              <w:t>关联问题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2026 框架时效核查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核查 LangGraph、AutoGen、CrewAI、MetaGPT 在 2026 年的维护状态与迁移公告，形成结论表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4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2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双框架最小原型</w:t>
            </w:r>
          </w:p>
        </w:tc>
        <w:tc>
          <w:tcPr>
            <w:tcW w:type="dxa" w:w="532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各搭“询价—议价—成交”三节点实验，从可控性/回放/成本打分并完成选型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4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LLM 双通道原型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跑通“结构化输出→校验→重试→RuleLLM 兜底”，验证无 Key 可完整出合法结果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2、6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4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SRS V2.0/V3.0</w:t>
            </w:r>
          </w:p>
        </w:tc>
        <w:tc>
          <w:tcPr>
            <w:tcW w:type="dxa" w:w="532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并入 9 类契约化角色与四类冲突检测、三级阶梯，形成机制章节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支撑需求基线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5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冲突规则清单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把四类检测写成可执行规则条目，明确触发条件与处置入口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1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6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开发环境搭建</w:t>
            </w:r>
          </w:p>
        </w:tc>
        <w:tc>
          <w:tcPr>
            <w:tcW w:type="dxa" w:w="532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锁定 requirements 版本、建立前后端工程骨架与 .env 配置模板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5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7</w:t>
            </w:r>
          </w:p>
        </w:tc>
        <w:tc>
          <w:tcPr>
            <w:tcW w:type="dxa" w:w="1814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议价参数调研</w:t>
            </w:r>
          </w:p>
        </w:tc>
        <w:tc>
          <w:tcPr>
            <w:tcW w:type="dxa" w:w="532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确定最大轮次、时限、让步曲线参数的经验初值并写入配置</w:t>
            </w:r>
          </w:p>
        </w:tc>
        <w:tc>
          <w:tcPr>
            <w:tcW w:type="dxa" w:w="1134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问题 2</w:t>
            </w:r>
          </w:p>
        </w:tc>
      </w:tr>
      <w:tr>
        <w:trPr>
          <w:cantSplit/>
        </w:trPr>
        <w:tc>
          <w:tcPr>
            <w:tcW w:type="dxa" w:w="680"/>
            <w:shd w:val="clear" w:color="auto" w:fill="FAF7EE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17"/>
              </w:rPr>
              <w:t>8</w:t>
            </w:r>
          </w:p>
        </w:tc>
        <w:tc>
          <w:tcPr>
            <w:tcW w:type="dxa" w:w="1814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向老师汇报</w:t>
            </w:r>
          </w:p>
        </w:tc>
        <w:tc>
          <w:tcPr>
            <w:tcW w:type="dxa" w:w="5329"/>
            <w:shd w:val="clear" w:color="auto" w:fill="F2F5F9"/>
            <w:vAlign w:val="center"/>
          </w:tcPr>
          <w:p>
            <w:pPr>
              <w:spacing w:before="20" w:after="20" w:line="276" w:lineRule="auto"/>
              <w:jc w:val="left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就选型结论与需求迭代向曾志新老师汇报，听取框架与范围意见</w:t>
            </w:r>
          </w:p>
        </w:tc>
        <w:tc>
          <w:tcPr>
            <w:tcW w:type="dxa" w:w="1134"/>
            <w:shd w:val="clear" w:color="auto" w:fill="F2F5F9"/>
            <w:vAlign w:val="center"/>
          </w:tcPr>
          <w:p>
            <w:pPr>
              <w:spacing w:before="20" w:after="20" w:line="276" w:lineRule="auto"/>
              <w:jc w:val="center"/>
            </w:pPr>
            <w:r/>
            <w:r>
              <w:rPr>
                <w:rFonts w:ascii="Times New Roman" w:hAnsi="Times New Roman" w:eastAsia="微软雅黑" w:cs="Times New Roman"/>
                <w:b w:val="0"/>
                <w:color w:val="2D2D2D"/>
                <w:sz w:val="17"/>
              </w:rPr>
              <w:t>—</w:t>
            </w:r>
          </w:p>
        </w:tc>
      </w:tr>
    </w:tbl>
    <w:p>
      <w:pPr>
        <w:spacing w:before="140" w:after="40"/>
        <w:jc w:val="center"/>
      </w:pPr>
      <w:r>
        <w:rPr>
          <w:rFonts w:ascii="Times New Roman" w:hAnsi="Times New Roman" w:eastAsia="微软雅黑" w:cs="Times New Roman"/>
          <w:b/>
          <w:color w:val="C9A84C"/>
          <w:sz w:val="18"/>
        </w:rPr>
        <w:t xml:space="preserve">表 7　</w:t>
      </w:r>
      <w:r>
        <w:rPr>
          <w:rFonts w:ascii="Times New Roman" w:hAnsi="Times New Roman" w:eastAsia="微软雅黑" w:cs="Times New Roman"/>
          <w:b/>
          <w:color w:val="6E7785"/>
          <w:sz w:val="18"/>
        </w:rPr>
        <w:t>下周工作计划表</w:t>
      </w:r>
    </w:p>
    <w:p>
      <w:pPr>
        <w:spacing w:after="80" w:before="0"/>
      </w:pPr>
      <w:r>
        <w:rPr>
          <w:rFonts w:ascii="Times New Roman" w:hAnsi="Times New Roman" w:eastAsia="微软雅黑" w:cs="Times New Roman"/>
          <w:sz w:val="8"/>
        </w:rPr>
        <w:t xml:space="preserve"> </w:t>
      </w:r>
    </w:p>
    <w:tbl>
      <w:tblPr>
        <w:tblW w:type="dxa" w:w="8958"/>
        <w:jc w:val="center"/>
        <w:tblLook w:firstColumn="1" w:firstRow="1" w:lastColumn="0" w:lastRow="0" w:noHBand="0" w:noVBand="1" w:val="04A0"/>
        <w:tblLayout w:type="fixed"/>
        <w:tblCellMar>
          <w:top w:w="110" w:type="dxa"/>
          <w:left w:w="180" w:type="dxa"/>
          <w:bottom w:w="110" w:type="dxa"/>
          <w:right w:w="160" w:type="dxa"/>
        </w:tblCellMar>
      </w:tblPr>
      <w:tblGrid>
        <w:gridCol w:w="8958"/>
      </w:tblGrid>
      <w:tr>
        <w:tc>
          <w:tcPr>
            <w:tcW w:type="dxa" w:w="8958"/>
            <w:shd w:val="clear" w:color="auto" w:fill="F2F5F9"/>
            <w:tcBorders>
              <w:top w:val="single" w:sz="4" w:space="0" w:color="1F3A5F"/>
              <w:left w:val="single" w:sz="30" w:space="0" w:color="1F3A5F"/>
              <w:bottom w:val="single" w:sz="4" w:space="0" w:color="1F3A5F"/>
              <w:right w:val="single" w:sz="4" w:space="0" w:color="1F3A5F"/>
            </w:tcBorders>
            <w:vAlign w:val="center"/>
          </w:tcPr>
          <w:p>
            <w:pPr>
              <w:spacing w:after="60"/>
            </w:pPr>
            <w:r/>
            <w:r>
              <w:rPr>
                <w:rFonts w:ascii="Times New Roman" w:hAnsi="Times New Roman" w:eastAsia="微软雅黑" w:cs="Times New Roman"/>
                <w:b/>
                <w:color w:val="1F3A5F"/>
                <w:sz w:val="21"/>
              </w:rPr>
              <w:t>◆  本周小结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本周项目从“顶层方案”进入“可编码的详细设计”：九张角色卡片、ACL 协议、ER 与状态机构成了开发契约，SRS 完成前两轮迭代。</w:t>
            </w:r>
          </w:p>
          <w:p>
            <w:pPr>
              <w:spacing w:line="312" w:lineRule="auto" w:after="20"/>
            </w:pPr>
            <w:r>
              <w:rPr>
                <w:rFonts w:ascii="Times New Roman" w:hAnsi="Times New Roman" w:eastAsia="微软雅黑" w:cs="Times New Roman"/>
                <w:color w:val="2D2D2D"/>
                <w:sz w:val="19"/>
              </w:rPr>
              <w:t>国庆假期的文献学习补齐了议价理论与人机协同的依据。下周将以最小原型用实测数据拍板框架选型，避免把关键架构建立在文档调研之上。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304" w:right="1474" w:bottom="1247" w:left="147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4" w:space="6" w:color="D8DEE6"/>
      </w:pBdr>
    </w:pPr>
    <w:r/>
    <w:r>
      <w:rPr>
        <w:rFonts w:ascii="Times New Roman" w:hAnsi="Times New Roman" w:eastAsia="微软雅黑" w:cs="Times New Roman"/>
        <w:color w:val="6E7785"/>
        <w:sz w:val="18"/>
      </w:rPr>
      <w:t xml:space="preserve">—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PAGE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/ </w:t>
    </w:r>
    <w:r>
      <w:rPr>
        <w:rFonts w:ascii="Times New Roman" w:hAnsi="Times New Roman" w:eastAsia="微软雅黑" w:cs="Times New Roman"/>
        <w:color w:val="6E7785"/>
        <w:sz w:val="18"/>
      </w:rPr>
      <w:fldChar w:fldCharType="begin"/>
    </w:r>
    <w:r>
      <w:rPr>
        <w:rFonts w:ascii="Times New Roman" w:hAnsi="Times New Roman" w:eastAsia="微软雅黑" w:cs="Times New Roman"/>
        <w:color w:val="6E7785"/>
        <w:sz w:val="18"/>
      </w:rPr>
      <w:instrText xml:space="preserve"> NUMPAGES </w:instrText>
    </w:r>
    <w:r>
      <w:rPr>
        <w:rFonts w:ascii="Times New Roman" w:hAnsi="Times New Roman" w:eastAsia="微软雅黑" w:cs="Times New Roman"/>
        <w:color w:val="6E7785"/>
        <w:sz w:val="18"/>
      </w:rPr>
      <w:fldChar w:fldCharType="separate"/>
    </w:r>
    <w:r>
      <w:rPr>
        <w:rFonts w:ascii="Times New Roman" w:hAnsi="Times New Roman" w:eastAsia="微软雅黑" w:cs="Times New Roman"/>
        <w:color w:val="6E7785"/>
        <w:sz w:val="18"/>
      </w:rPr>
      <w:t>1</w:t>
    </w:r>
    <w:r>
      <w:rPr>
        <w:rFonts w:ascii="Times New Roman" w:hAnsi="Times New Roman" w:eastAsia="微软雅黑" w:cs="Times New Roman"/>
        <w:color w:val="6E7785"/>
        <w:sz w:val="18"/>
      </w:rPr>
      <w:fldChar w:fldCharType="end"/>
    </w:r>
    <w:r>
      <w:rPr>
        <w:rFonts w:ascii="Times New Roman" w:hAnsi="Times New Roman" w:eastAsia="微软雅黑" w:cs="Times New Roman"/>
        <w:color w:val="6E7785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3" w:color="C9A84C"/>
      </w:pBdr>
    </w:pPr>
    <w:r/>
    <w:r>
      <w:rPr>
        <w:rFonts w:ascii="Times New Roman" w:hAnsi="Times New Roman" w:eastAsia="微软雅黑" w:cs="Times New Roman"/>
        <w:color w:val="6E7785"/>
        <w:sz w:val="16"/>
      </w:rPr>
      <w:t>校园二手交易平台的 Multi-Agent 设计与实现　|　项目周报 · 第 3 周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/>
    </w:pPr>
    <w:rPr>
      <w:rFonts w:ascii="Times New Roman" w:hAnsi="Times New Roman" w:eastAsia="微软雅黑" w:cs="Times New Roman"/>
      <w:color w:val="2D2D2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