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  <w:tblLayout w:type="fixed"/>
        <w:tblCellMar>
          <w:top w:w="520" w:type="dxa"/>
          <w:left w:w="300" w:type="dxa"/>
          <w:bottom w:w="420" w:type="dxa"/>
          <w:right w:w="300" w:type="dxa"/>
        </w:tblCellMar>
      </w:tblPr>
      <w:tblGrid>
        <w:gridCol w:w="8958"/>
      </w:tblGrid>
      <w:tr>
        <w:trPr>
          <w:trHeight w:val="4876" w:hRule="atLeast"/>
        </w:trPr>
        <w:tc>
          <w:tcPr>
            <w:tcW w:type="dxa" w:w="8958"/>
            <w:shd w:val="clear" w:color="auto" w:fill="1F3A5F"/>
            <w:vAlign w:val="center"/>
          </w:tcPr>
          <w:p>
            <w:r/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C9A84C"/>
                <w:sz w:val="21"/>
              </w:rPr>
              <w:t>MULTI-AGENT SYSTEM  ·  WEEKLY REPORT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校园二手交易平台的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Multi-Agent 设计与实现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C9A84C"/>
                <w:sz w:val="20"/>
              </w:rPr>
              <w:t>◆　◆　◆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E4D39C"/>
                <w:sz w:val="25"/>
              </w:rPr>
              <w:t>LangGraph 1.x 时效核查  ×  最小原型验证  专题周报</w:t>
            </w:r>
          </w:p>
        </w:tc>
      </w:tr>
    </w:tbl>
    <w:p>
      <w:pPr>
        <w:spacing w:before="440" w:after="80"/>
        <w:jc w:val="center"/>
      </w:pPr>
      <w:r>
        <w:rPr>
          <w:rFonts w:ascii="Times New Roman" w:hAnsi="Times New Roman" w:eastAsia="微软雅黑" w:cs="Times New Roman"/>
          <w:b/>
          <w:color w:val="C9A84C"/>
          <w:sz w:val="30"/>
        </w:rPr>
        <w:t>项 目 研 究 周 报</w:t>
      </w:r>
    </w:p>
    <w:p>
      <w:pPr>
        <w:spacing w:after="320"/>
        <w:jc w:val="center"/>
      </w:pPr>
      <w:r>
        <w:rPr>
          <w:rFonts w:ascii="Times New Roman" w:hAnsi="Times New Roman" w:eastAsia="微软雅黑" w:cs="Times New Roman"/>
          <w:color w:val="6E7785"/>
          <w:sz w:val="22"/>
        </w:rPr>
        <w:t>第 4 周 · 技术选型核查与原型验证周</w:t>
      </w:r>
    </w:p>
    <w:tbl>
      <w:tblPr>
        <w:tblW w:type="dxa" w:w="7484"/>
        <w:jc w:val="center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41"/>
        <w:gridCol w:w="5443"/>
      </w:tblGrid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2026 年 10 月 5 日 — 10 月 11 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2400320321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曾志新　老师</w:t>
            </w:r>
          </w:p>
        </w:tc>
      </w:tr>
    </w:tbl>
    <w:p>
      <w:pPr>
        <w:spacing w:before="400" w:after="40"/>
        <w:jc w:val="center"/>
      </w:pPr>
      <w:r>
        <w:rPr>
          <w:rFonts w:ascii="Times New Roman" w:hAnsi="Times New Roman" w:eastAsia="微软雅黑" w:cs="Times New Roman"/>
          <w:b/>
          <w:color w:val="1F3A5F"/>
          <w:sz w:val="34"/>
        </w:rPr>
        <w:t>2026.10.05  —  10.11</w:t>
      </w:r>
    </w:p>
    <w:p>
      <w:pPr>
        <w:jc w:val="center"/>
      </w:pPr>
      <w:r>
        <w:rPr>
          <w:rFonts w:ascii="Times New Roman" w:hAnsi="Times New Roman" w:eastAsia="微软雅黑" w:cs="Times New Roman"/>
          <w:color w:val="6E7785"/>
          <w:sz w:val="20"/>
        </w:rPr>
        <w:t>提交日期：2026 年 10 月 13 日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22"/>
        </w:rPr>
        <w:t>CONTENTS</w:t>
      </w:r>
    </w:p>
    <w:p>
      <w:pPr>
        <w:spacing w:after="200"/>
        <w:jc w:val="center"/>
      </w:pPr>
      <w:r>
        <w:rPr>
          <w:rFonts w:ascii="Times New Roman" w:hAnsi="Times New Roman" w:eastAsia="微软雅黑" w:cs="Times New Roman"/>
          <w:b/>
          <w:color w:val="1F3A5F"/>
          <w:sz w:val="44"/>
        </w:rPr>
        <w:t>目　录</w:t>
      </w:r>
    </w:p>
    <w:p>
      <w:pPr>
        <w:spacing w:after="280"/>
        <w:jc w:val="center"/>
      </w:pPr>
      <w:r>
        <w:rPr>
          <w:rFonts w:ascii="Times New Roman" w:hAnsi="Times New Roman" w:eastAsia="微软雅黑" w:cs="Times New Roman"/>
          <w:color w:val="C9A84C"/>
          <w:sz w:val="20"/>
        </w:rPr>
        <w:t>— · — · — · — · —</w:t>
      </w:r>
    </w:p>
    <w:p>
      <w:r>
        <w:fldChar w:fldCharType="begin"/>
      </w:r>
      <w:r>
        <w:instrText xml:space="preserve"> TOC \o "1-2" \h \z \u </w:instrText>
      </w:r>
      <w:r>
        <w:rPr>
          <w:rFonts w:ascii="Times New Roman" w:hAnsi="Times New Roman" w:eastAsia="微软雅黑" w:cs="Times New Roman"/>
          <w:color w:val="6E7785"/>
          <w:sz w:val="20"/>
        </w:rPr>
        <w:t>打开文档后如目录未显示页码，请在目录上右键选择“更新域”。</w:t>
      </w:r>
      <w:r>
        <w:fldChar w:fldCharType="end"/>
      </w:r>
    </w:p>
    <w:p>
      <w:r>
        <w:br w:type="page"/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01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本周学习笔记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本周的学习重点是“用 2026 年的最新事实重新检验第 1 周的技术倾向”：系统学习了 LangGraph 1.x 稳定版的图编排与检查点机制，跟踪了 AutoGen 进入维护模式的官方公告，完成了 DeepSeek V4 与结构化输出稳定性工程的调研，并动手设计了无 Key 可运行的 RuleLLM 兜底方案。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1.1  LangGraph 1.x 稳定版核心抽象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StateGraph：</w:t>
      </w:r>
      <w:r>
        <w:rPr>
          <w:rFonts w:ascii="Times New Roman" w:hAnsi="Times New Roman" w:eastAsia="微软雅黑" w:cs="Times New Roman"/>
          <w:color w:val="2D2D2D"/>
          <w:sz w:val="21"/>
        </w:rPr>
        <w:t>用一张显式的状态图描述业务：节点（Node）是处理函数，边（Edge）描述迁移，条件边根据状态返回值决定下一节点；这与本项目“协商失败→仲裁→人工”的回环天然同构。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类型化状态与 Reducer：</w:t>
      </w:r>
      <w:r>
        <w:rPr>
          <w:rFonts w:ascii="Times New Roman" w:hAnsi="Times New Roman" w:eastAsia="微软雅黑" w:cs="Times New Roman"/>
          <w:color w:val="2D2D2D"/>
          <w:sz w:val="21"/>
        </w:rPr>
        <w:t>全局黑板用 TypedDict 声明，每个字段可指定合并函数（reducer），多 Agent 并发写同一字段时由 reducer 决定如何合并，从机制上避免互相覆盖。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图的可组合性：</w:t>
      </w:r>
      <w:r>
        <w:rPr>
          <w:rFonts w:ascii="Times New Roman" w:hAnsi="Times New Roman" w:eastAsia="微软雅黑" w:cs="Times New Roman"/>
          <w:color w:val="2D2D2D"/>
          <w:sz w:val="21"/>
        </w:rPr>
        <w:t>发布流程、交易流程可以各自建子图后挂入主编排图，冲突处理也可以做成可复用的子图，契合 9 个 Agent 可插拔的目标。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1.2  检查点（Checkpointer）与中断恢复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每步落盘：</w:t>
      </w:r>
      <w:r>
        <w:rPr>
          <w:rFonts w:ascii="Times New Roman" w:hAnsi="Times New Roman" w:eastAsia="微软雅黑" w:cs="Times New Roman"/>
          <w:color w:val="2D2D2D"/>
          <w:sz w:val="21"/>
        </w:rPr>
        <w:t>Checkpointer 在每个超级步之后把完整状态快照写入 SQLite，线程 ID 即业务会话 ID，崩溃后可以从最后一个超级步继续。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interrupt 语义：</w:t>
      </w:r>
      <w:r>
        <w:rPr>
          <w:rFonts w:ascii="Times New Roman" w:hAnsi="Times New Roman" w:eastAsia="微软雅黑" w:cs="Times New Roman"/>
          <w:color w:val="2D2D2D"/>
          <w:sz w:val="21"/>
        </w:rPr>
        <w:t>interrupt() 会抛出中断信号并保存现场；人工处理完毕后用 Command(resume=…) 把裁决结果注入并继续执行，正好实现三级阶梯的人工兜底。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回放即审计：</w:t>
      </w:r>
      <w:r>
        <w:rPr>
          <w:rFonts w:ascii="Times New Roman" w:hAnsi="Times New Roman" w:eastAsia="微软雅黑" w:cs="Times New Roman"/>
          <w:color w:val="2D2D2D"/>
          <w:sz w:val="21"/>
        </w:rPr>
        <w:t>给定 thread_id 即可拉取全部历史状态，决策轨迹回放（AC-10）不需要额外造轮子。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1.3  AutoGen 2026 年现状核查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维护模式公告：</w:t>
      </w:r>
      <w:r>
        <w:rPr>
          <w:rFonts w:ascii="Times New Roman" w:hAnsi="Times New Roman" w:eastAsia="微软雅黑" w:cs="Times New Roman"/>
          <w:color w:val="2D2D2D"/>
          <w:sz w:val="21"/>
        </w:rPr>
        <w:t>查阅官方渠道后确认 AutoGen 已进入维护模式，团队主推 Microsoft Agent Framework 1.0（GA）；新项目继续押注 AutoGen 存在双框架迁移风险。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能力并未消失而是迁移：</w:t>
      </w:r>
      <w:r>
        <w:rPr>
          <w:rFonts w:ascii="Times New Roman" w:hAnsi="Times New Roman" w:eastAsia="微软雅黑" w:cs="Times New Roman"/>
          <w:color w:val="2D2D2D"/>
          <w:sz w:val="21"/>
        </w:rPr>
        <w:t>GroupChat 的多 Agent 对话思想在新框架中延续，但 API 与生态正在切换期，资料与示例版本混乱，不利于课程项目的稳定交付。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1.4  其他候选框架复核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CrewAI：</w:t>
      </w:r>
      <w:r>
        <w:rPr>
          <w:rFonts w:ascii="Times New Roman" w:hAnsi="Times New Roman" w:eastAsia="微软雅黑" w:cs="Times New Roman"/>
          <w:color w:val="2D2D2D"/>
          <w:sz w:val="21"/>
        </w:rPr>
        <w:t>角色 + 任务 + 流程模板上手最快，但深度定制仲裁回环仍需绕开框架抽象，适合作为备选参考，不适合作为研究核心载体。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MetaGPT：</w:t>
      </w:r>
      <w:r>
        <w:rPr>
          <w:rFonts w:ascii="Times New Roman" w:hAnsi="Times New Roman" w:eastAsia="微软雅黑" w:cs="Times New Roman"/>
          <w:color w:val="2D2D2D"/>
          <w:sz w:val="21"/>
        </w:rPr>
        <w:t>SOP 软件公司式流水线对固定流程友好，但本项目的动态冲突（抢单、议价僵局、安全否决）不在它的默认模型内，契合度最低。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1.5  DeepSeek V4 与 OpenAI 兼容生态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国内直连与成本：</w:t>
      </w:r>
      <w:r>
        <w:rPr>
          <w:rFonts w:ascii="Times New Roman" w:hAnsi="Times New Roman" w:eastAsia="微软雅黑" w:cs="Times New Roman"/>
          <w:color w:val="2D2D2D"/>
          <w:sz w:val="21"/>
        </w:rPr>
        <w:t>DeepSeek V4 提供 OpenAI 兼容接口，国内网络直连、单价低，Agent 能力较前代增强，作为默认模型；BaseURL 可切换 Qwen / GLM，不被单一供应商锁定。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结构化输出：</w:t>
      </w:r>
      <w:r>
        <w:rPr>
          <w:rFonts w:ascii="Times New Roman" w:hAnsi="Times New Roman" w:eastAsia="微软雅黑" w:cs="Times New Roman"/>
          <w:color w:val="2D2D2D"/>
          <w:sz w:val="21"/>
        </w:rPr>
        <w:t>通过 response_format=json_object 配合 Pydantic 校验，可以把模型输出收敛成可执行的对象，但仍需为偶发的格式漂移准备兜底。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1.6  LLM 结构化输出的稳定性工程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四层防线：</w:t>
      </w:r>
      <w:r>
        <w:rPr>
          <w:rFonts w:ascii="Times New Roman" w:hAnsi="Times New Roman" w:eastAsia="微软雅黑" w:cs="Times New Roman"/>
          <w:color w:val="2D2D2D"/>
          <w:sz w:val="21"/>
        </w:rPr>
        <w:t>提示词内嵌输出契约 → JSON Mode 生成 → Pydantic Schema 校验 → 失败带错误信息重试，尽量把模型的“自由发挥”约束在系统可接受的形状内。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降级优于报错：</w:t>
      </w:r>
      <w:r>
        <w:rPr>
          <w:rFonts w:ascii="Times New Roman" w:hAnsi="Times New Roman" w:eastAsia="微软雅黑" w:cs="Times New Roman"/>
          <w:color w:val="2D2D2D"/>
          <w:sz w:val="21"/>
        </w:rPr>
        <w:t>两次重试仍失败时不应把异常抛给用户，而应切换到 RuleLLM 给出合法但保守的结论；规则也无法裁决（如金额超阈值纠纷）才发 interrupt 转人工。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安全不依赖模型：</w:t>
      </w:r>
      <w:r>
        <w:rPr>
          <w:rFonts w:ascii="Times New Roman" w:hAnsi="Times New Roman" w:eastAsia="微软雅黑" w:cs="Times New Roman"/>
          <w:color w:val="2D2D2D"/>
          <w:sz w:val="21"/>
        </w:rPr>
        <w:t>违禁词命中即否决的规则通道优先级高于任何模型输出，从架构上保证“安全底线不靠模型自觉”。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1.7  RuleLLM 确定性兜底设计思路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用规则模拟模型的输出形状：</w:t>
      </w:r>
      <w:r>
        <w:rPr>
          <w:rFonts w:ascii="Times New Roman" w:hAnsi="Times New Roman" w:eastAsia="微软雅黑" w:cs="Times New Roman"/>
          <w:color w:val="2D2D2D"/>
          <w:sz w:val="21"/>
        </w:rPr>
        <w:t>意图识别用关键词与模板匹配，审核用违禁词库与欺诈特征，议价用确定性让步函数，仲裁用规则评分卡；输出同样通过 Pydantic 模型，使上游无感知。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无 Key 全流程可演：</w:t>
      </w:r>
      <w:r>
        <w:rPr>
          <w:rFonts w:ascii="Times New Roman" w:hAnsi="Times New Roman" w:eastAsia="微软雅黑" w:cs="Times New Roman"/>
          <w:color w:val="2D2D2D"/>
          <w:sz w:val="21"/>
        </w:rPr>
        <w:t>默认 Mock 模式下 RuleLLM 支撑全部 P0 功能与所有冲突剧本，满足“全新环境一键启动即可答辩演示”的硬约束。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1.8  框架量化评估方法：从印象分到雷达图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先定维度再打分：</w:t>
      </w:r>
      <w:r>
        <w:rPr>
          <w:rFonts w:ascii="Times New Roman" w:hAnsi="Times New Roman" w:eastAsia="微软雅黑" w:cs="Times New Roman"/>
          <w:color w:val="2D2D2D"/>
          <w:sz w:val="21"/>
        </w:rPr>
        <w:t>为避免“我觉得这个框架顺手”式选型，先锁定五个与项目目标强相关的维度——流程可控、回环/仲裁表达、可观测回放、开发成本、生态时效，每个维度给出可观察的评分锚点。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雷达图的直觉化优势：</w:t>
      </w:r>
      <w:r>
        <w:rPr>
          <w:rFonts w:ascii="Times New Roman" w:hAnsi="Times New Roman" w:eastAsia="微软雅黑" w:cs="Times New Roman"/>
          <w:color w:val="2D2D2D"/>
          <w:sz w:val="21"/>
        </w:rPr>
        <w:t>把多框架的多维评分叠加到同一张雷达图上，包络面积与形状立刻暴露差异：LangGraph 的包络在“控制/回环/回放/时效”四极同时外扩，选型结论一目了然。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主观分必须配客观证据：</w:t>
      </w:r>
      <w:r>
        <w:rPr>
          <w:rFonts w:ascii="Times New Roman" w:hAnsi="Times New Roman" w:eastAsia="微软雅黑" w:cs="Times New Roman"/>
          <w:color w:val="2D2D2D"/>
          <w:sz w:val="21"/>
        </w:rPr>
        <w:t>雷达分来自最小原型实测记录（实现同一场景的代码行数、调试耗时、是否需要绕开框架），不允许只看文档打分。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701"/>
        <w:gridCol w:w="2268"/>
        <w:gridCol w:w="3175"/>
        <w:gridCol w:w="1814"/>
      </w:tblGrid>
      <w:tr>
        <w:trPr>
          <w:tblHeader/>
          <w:cantSplit/>
        </w:trPr>
        <w:tc>
          <w:tcPr>
            <w:tcW w:type="dxa" w:w="170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框架 / 组件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2026 年状态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对本项目的影响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LangGraph 1.x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1.2.x 活跃维护，API 稳定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图状态 + 条件边 + 检查点 + interrupt 全命中需求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✔ 唯一编排框架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AutoGen</w:t>
            </w:r>
          </w:p>
        </w:tc>
        <w:tc>
          <w:tcPr>
            <w:tcW w:type="dxa" w:w="226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官方进入维护模式，转向新框架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对话思想可借鉴，但双框架风险高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✘ 不引入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CrewAI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活跃，偏模板化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上手快但仲裁回环定制成本高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○ 备选参考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MetaGPT</w:t>
            </w:r>
          </w:p>
        </w:tc>
        <w:tc>
          <w:tcPr>
            <w:tcW w:type="dxa" w:w="226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活跃，偏固定 SOP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动态冲突支持弱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✘ 契合度低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DeepSeek V4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OpenAI 兼容、国内直连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成本低、可切换供应商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✔ 默认大模型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RuleLLM（自研）</w:t>
            </w:r>
          </w:p>
        </w:tc>
        <w:tc>
          <w:tcPr>
            <w:tcW w:type="dxa" w:w="226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项目内确定性引擎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无 Key / 故障时合法兜底，无 Key 可演示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✔ 必备双通道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2026 年框架与模型时效核查结论表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02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本周完成的项目内容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本周以“事实核查 + 原型实测”双轮驱动，完成技术栈定稿、双框架最小原型对比、LLM 双通道原型三件决定性工作，并将结论并入 SRS V2.0/V3.0/V3.1，搭好了前后端工程骨架。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2.1  技术栈定稿（并入 SRS V3.1）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经过时效核查，确定“LangGraph 1.x 单框架编排 + DeepSeek V4 + 自研 RuleLLM 兜底 + FastAPI/Vue3”的技术栈；特别地，议价对话不再引入 AutoGen，而是用 LangGraph 双边节点循环实现，从根本上消除双框架风险。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587"/>
        <w:gridCol w:w="2835"/>
        <w:gridCol w:w="4536"/>
      </w:tblGrid>
      <w:tr>
        <w:trPr>
          <w:tblHeader/>
          <w:cantSplit/>
        </w:trPr>
        <w:tc>
          <w:tcPr>
            <w:tcW w:type="dxa" w:w="158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53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选择理由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Agent 编排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LangGraph 1.x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图状态 + 条件边 + Checkpointer + interrupt，天然映射三级回环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议价对话</w:t>
            </w:r>
          </w:p>
        </w:tc>
        <w:tc>
          <w:tcPr>
            <w:tcW w:type="dxa" w:w="283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LangGraph 双边节点循环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避免引入进入维护模式的 AutoGen，单框架更可控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大模型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DeepSeek V4（OpenAI 兼容）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国内直连、低成本，可切换 Qwen / GLM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模型兜底</w:t>
            </w:r>
          </w:p>
        </w:tc>
        <w:tc>
          <w:tcPr>
            <w:tcW w:type="dxa" w:w="283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自研 RuleLLM 规则引擎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无 Key / 超时 / 格式漂移时自动降级，无 Key 可完整演示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后端 / 数据库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FastAPI + SQLModel + SQLite(WAL)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异步、自动文档、零配置可跑，事务+版本号保证并发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前端 / 实时</w:t>
            </w:r>
          </w:p>
        </w:tc>
        <w:tc>
          <w:tcPr>
            <w:tcW w:type="dxa" w:w="283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Vue3 + TS + Vite + Element Plus / WebSocket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组件成熟、中文生态好、交付快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V3.1 技术栈定稿表（核查 2026 年时效后）</w:t>
      </w:r>
    </w:p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AF7EE"/>
            <w:tcBorders>
              <w:top w:val="single" w:sz="4" w:space="0" w:color="C9A84C"/>
              <w:left w:val="single" w:sz="30" w:space="0" w:color="C9A84C"/>
              <w:bottom w:val="single" w:sz="4" w:space="0" w:color="C9A84C"/>
              <w:right w:val="single" w:sz="4" w:space="0" w:color="C9A84C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21"/>
              </w:rPr>
              <w:t>◆  一句话选型结论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主流程与冲突仲裁只押 LangGraph 一个编排框架；大模型是“增强项”而非“依赖项”——没有 API Key，系统也能靠 RuleLLM 完整运行与答辩。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2.2  双框架最小原型对比实验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用同一道“询价—议价—成交”题目分别实现两个最小原型：LangGraph 版用节点 + 条件边显式表达双边循环，AutoGen 版用 GroupChat 组织多角色对话。原型结构如图 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74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proto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7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LangGraph 与 AutoGen GroupChat 最小原型结构对照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041"/>
        <w:gridCol w:w="1247"/>
        <w:gridCol w:w="1247"/>
        <w:gridCol w:w="4422"/>
      </w:tblGrid>
      <w:tr>
        <w:trPr>
          <w:tblHeader/>
          <w:cantSplit/>
        </w:trPr>
        <w:tc>
          <w:tcPr>
            <w:tcW w:type="dxa" w:w="204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评分维度（1–5）</w:t>
            </w:r>
          </w:p>
        </w:tc>
        <w:tc>
          <w:tcPr>
            <w:tcW w:type="dxa" w:w="124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LangGraph</w:t>
            </w:r>
          </w:p>
        </w:tc>
        <w:tc>
          <w:tcPr>
            <w:tcW w:type="dxa" w:w="124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AutoGen</w:t>
            </w:r>
          </w:p>
        </w:tc>
        <w:tc>
          <w:tcPr>
            <w:tcW w:type="dxa" w:w="4422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实测说明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流程可控性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3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条件边显式决定去向；GroupChat 发言顺序隐式，需自定义管理器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回环 / 仲裁表达</w:t>
            </w:r>
          </w:p>
        </w:tc>
        <w:tc>
          <w:tcPr>
            <w:tcW w:type="dxa" w:w="124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5</w:t>
            </w:r>
          </w:p>
        </w:tc>
        <w:tc>
          <w:tcPr>
            <w:tcW w:type="dxa" w:w="124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2</w:t>
            </w:r>
          </w:p>
        </w:tc>
        <w:tc>
          <w:tcPr>
            <w:tcW w:type="dxa" w:w="442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协商→仲裁→人工是图上的一条路径；对话式实现要大量外挂状态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可观测与回放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3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Checkpointer 每步快照；GroupChat 需自行记录全量消息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开发成本</w:t>
            </w:r>
          </w:p>
        </w:tc>
        <w:tc>
          <w:tcPr>
            <w:tcW w:type="dxa" w:w="124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4</w:t>
            </w:r>
          </w:p>
        </w:tc>
        <w:tc>
          <w:tcPr>
            <w:tcW w:type="dxa" w:w="124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4</w:t>
            </w:r>
          </w:p>
        </w:tc>
        <w:tc>
          <w:tcPr>
            <w:tcW w:type="dxa" w:w="442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两者写小例子都快，但复杂流程下 LangGraph 调试更直观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生态时效（2026）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2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LangGraph 活跃稳定；AutoGen 维护模式、资料版本混乱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双框架最小原型实测打分（5 分制）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2.3  LLM + RuleLLM 双通道原型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实现并验证了“结构化输出 → Schema 校验 → 修复重试 → RuleLLM 兜底 → 人工信号”的完整降级链：在无 Key、注入超时、注入非法 JSON 三种情况下，原型均给出合法结构化结果或干净的人工挂起信号，没有产生脏状态。降级链如图 2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4248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dual_cha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424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LLM 结构化调用的校验—重试—兜底降级链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app/llm/client.py（结构化调用封装）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async def call_structured(schema: type[BaseModel], messages, *, retries=2):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"""LLM 结构化输出：校验 → 重试 → RuleLLM 兜底，保证返回合法对象。"""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not settings.llm_enabled:                 # 无 API Key：直接规则模式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return RULE_LLM.dispatch(schema, messages)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last_err = None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for attempt in range(retries + 1):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try: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resp = await client.chat.completions.create(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    model=settings.llm_model,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    messages=messages,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    response_format={"type": "json_object"})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return schema.model_validate_json(resp.choices[0].message.content)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except (httpx.TimeoutException, ValidationError) as 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last_err = e                          # 带错误信息进入下一次修复重试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RULE_LLM.dispatch(schema, messages, reason=last_err)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2.4  SRS V2.0 / V3.0 两轮迭代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把角色设计与冲突机制正式写入需求：V2.0 确立 9 类契约化、可插拔角色与黑板/消息总线结构；V3.0 新增四类冲突检测、三级处理阶梯、效用函数、加权投票与安全否决，并输出 8 类冲突场景矩阵（C1–C8）。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701"/>
        <w:gridCol w:w="2381"/>
        <w:gridCol w:w="2438"/>
        <w:gridCol w:w="2438"/>
      </w:tblGrid>
      <w:tr>
        <w:trPr>
          <w:tblHeader/>
          <w:cantSplit/>
        </w:trPr>
        <w:tc>
          <w:tcPr>
            <w:tcW w:type="dxa" w:w="170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需求维度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V1 业务初稿</w:t>
            </w:r>
          </w:p>
        </w:tc>
        <w:tc>
          <w:tcPr>
            <w:tcW w:type="dxa" w:w="243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V2 角色设计</w:t>
            </w:r>
          </w:p>
        </w:tc>
        <w:tc>
          <w:tcPr>
            <w:tcW w:type="dxa" w:w="243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V3 冲突机制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系统定位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二手交易功能平台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多 Agent 协作原型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带冲突决策的 MAS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Agent 数量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未划分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9 类角色定义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9 类 + 熔断代管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核心机制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仅交易主链路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黑板 + 消息协作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四类检测 + 三级阶梯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并发一致性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未涉及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提出加锁思路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抢单优先级 + 预占锁方案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验收方式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无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人工演示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场景走查（C1–C8）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SRS V1 → V3 需求演进对照（本周新增 V2/V3 两列）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2.5  开发环境搭建与依赖锁定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建立 backend（Python 虚拟环境）与 frontend（Node + Vite）两个工程目录，锁定关键依赖版本并编写 .env 配置模板：LLM 开关、议价轮次/时限、效用权重、纠纷金额阈值全部可配置，缺省即以 Mock 模式运行。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backend/.env.example（关键配置项）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# 大模型开关：false 即由 RuleLLM 全量兜底，无 Key 可完整演示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LLM_ENABLED=false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LLM_MODEL=deepseek-v4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LLM_BASE_URL=https://api.deepseek.com/v1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LLM_API_KEY=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# 议价参数（经验初值，后续用剧本实验调参）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BARGAIN_MAX_ROUNDS=5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BARGAIN_TIMEOUT_SECONDS=120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# 冲突决策参数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UTILITY_W_SATISFACTION=0.25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UTILITY_W_SUCCESS=0.20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UTILITY_W_SAFETY=0.30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DISPUTE_AMOUNT_THRESHOLD=200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DF2F8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21"/>
              </w:rPr>
              <w:t>✦  本周产出物清单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① 框架时效核查结论表与双框架最小原型评分；② LLM 双通道调用封装原型（含三种故障注入验证）；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③ SRS V2.0、V3.0、V3.1 三轮迭代稿；④ 前后端工程骨架与锁定版依赖清单、.env 模板。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2.6  五维能力雷达：选型结论的量化呈现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把四个候选框架在五个维度上的实测评分绘制成雷达图叠加对比：LangGraph 1.x 的包络在流程可控、回环/仲裁、可观测回放、生态时效四个方向同时拉满，与本项目“显式冲突回环 + 全程可回放”的核心诉求精确吻合，如图 3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3745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74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四大框架五维能力雷达（最小原型实测评分，5 分制）</w:t>
      </w:r>
    </w:p>
    <w:tbl>
      <w:tblPr>
        <w:tblW w:type="dxa" w:w="8686"/>
        <w:jc w:val="center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</w:tblPr>
      <w:tblGrid>
        <w:gridCol w:w="2171"/>
        <w:gridCol w:w="2171"/>
        <w:gridCol w:w="2171"/>
        <w:gridCol w:w="2171"/>
      </w:tblGrid>
      <w:tr>
        <w:trPr>
          <w:cantSplit/>
        </w:trPr>
        <w:tc>
          <w:tcPr>
            <w:tcW w:type="dxa" w:w="2171"/>
            <w:shd w:val="clear" w:color="auto" w:fill="F2F5F9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32"/>
              </w:rPr>
              <w:t>4.6/5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LangGraph 综合均分</w:t>
            </w:r>
          </w:p>
        </w:tc>
        <w:tc>
          <w:tcPr>
            <w:tcW w:type="dxa" w:w="2171"/>
            <w:shd w:val="clear" w:color="auto" w:fill="FAF7EE"/>
            <w:tcBorders>
              <w:top w:val="single" w:sz="4" w:space="0" w:color="9A7A24"/>
              <w:left w:val="single" w:sz="4" w:space="0" w:color="9A7A24"/>
              <w:bottom w:val="single" w:sz="4" w:space="0" w:color="9A7A24"/>
              <w:right w:val="single" w:sz="4" w:space="0" w:color="9A7A24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32"/>
              </w:rPr>
              <w:t>2.4/5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AutoGen 综合均分</w:t>
            </w:r>
          </w:p>
        </w:tc>
        <w:tc>
          <w:tcPr>
            <w:tcW w:type="dxa" w:w="2171"/>
            <w:shd w:val="clear" w:color="auto" w:fill="EDF2F8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32"/>
              </w:rPr>
              <w:t>1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最终编排框架</w:t>
            </w:r>
          </w:p>
        </w:tc>
        <w:tc>
          <w:tcPr>
            <w:tcW w:type="dxa" w:w="2171"/>
            <w:shd w:val="clear" w:color="auto" w:fill="EAF3EE"/>
            <w:tcBorders>
              <w:top w:val="single" w:sz="4" w:space="0" w:color="4E8A6B"/>
              <w:left w:val="single" w:sz="4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32"/>
              </w:rPr>
              <w:t>0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双框架依赖风险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2.7  LLM 响应耗时实测与降级决策树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选型不能只看能力还要看性能。对五类典型 LLM 调用各采样 20 次，对比 DeepSeek V4 与 RuleLLM 的耗时：LLM 的 P50 在 0.5–1.9 秒，议价单轮与裁决归纳的 P95 接近甚至触及 NFR-3 的 3 秒红线，而 RuleLLM 全部在 0.06 秒以内——这为“超时自动降级到规则”提供了直接的数据依据，如图 4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68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LLM 与 RuleLLM 五类调用响应耗时实测（20 次采样，P50/P95）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根据实测把降级策略固化为一棵决策树：先判 Key、再走结构化输出与 Schema 校验，失败重试两次，仍失败交 RuleLLM，命中安全规则则 veto 短路——任何路径都返回统一的合法结果类型，如图 5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9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fallback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9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LLM 调用降级决策树（含 veto 安全短路与人工 interrupt 终态）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701"/>
        <w:gridCol w:w="1360"/>
        <w:gridCol w:w="1360"/>
        <w:gridCol w:w="1360"/>
        <w:gridCol w:w="3175"/>
      </w:tblGrid>
      <w:tr>
        <w:trPr>
          <w:tblHeader/>
          <w:cantSplit/>
        </w:trPr>
        <w:tc>
          <w:tcPr>
            <w:tcW w:type="dxa" w:w="170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调用类型</w:t>
            </w:r>
          </w:p>
        </w:tc>
        <w:tc>
          <w:tcPr>
            <w:tcW w:type="dxa" w:w="136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LLM·P50</w:t>
            </w:r>
          </w:p>
        </w:tc>
        <w:tc>
          <w:tcPr>
            <w:tcW w:type="dxa" w:w="136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LLM·P95</w:t>
            </w:r>
          </w:p>
        </w:tc>
        <w:tc>
          <w:tcPr>
            <w:tcW w:type="dxa" w:w="136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RuleLLM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是否触线 3s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意图识别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0.6s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1.1s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0.03s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分类成色</w:t>
            </w:r>
          </w:p>
        </w:tc>
        <w:tc>
          <w:tcPr>
            <w:tcW w:type="dxa" w:w="136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0.5s</w:t>
            </w:r>
          </w:p>
        </w:tc>
        <w:tc>
          <w:tcPr>
            <w:tcW w:type="dxa" w:w="136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0.9s</w:t>
            </w:r>
          </w:p>
        </w:tc>
        <w:tc>
          <w:tcPr>
            <w:tcW w:type="dxa" w:w="136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0.03s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内容审核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0.7s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1.3s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0.04s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议价单轮</w:t>
            </w:r>
          </w:p>
        </w:tc>
        <w:tc>
          <w:tcPr>
            <w:tcW w:type="dxa" w:w="136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1.6s</w:t>
            </w:r>
          </w:p>
        </w:tc>
        <w:tc>
          <w:tcPr>
            <w:tcW w:type="dxa" w:w="136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2.8s</w:t>
            </w:r>
          </w:p>
        </w:tc>
        <w:tc>
          <w:tcPr>
            <w:tcW w:type="dxa" w:w="136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0.05s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接近（需降级联动）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裁决归纳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1.9s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3.4s</w:t>
            </w:r>
          </w:p>
        </w:tc>
        <w:tc>
          <w:tcPr>
            <w:tcW w:type="dxa" w:w="136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0.06s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P95 触线（规则兜底）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6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五类调用耗时实测明细与 NFR-3 红线判定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03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存在的问题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原型实测回答了选型问题，但也暴露出从原型走向工程的一批新问题：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1　RuleLLM 与真实模型的表达差距：</w:t>
      </w:r>
      <w:r>
        <w:rPr>
          <w:rFonts w:ascii="Times New Roman" w:hAnsi="Times New Roman" w:eastAsia="微软雅黑" w:cs="Times New Roman"/>
          <w:color w:val="2D2D2D"/>
          <w:sz w:val="21"/>
        </w:rPr>
        <w:t>关键词规则对复杂口语化描述的意图识别偏弱，需要持续扩充模板，并在界面明确标注当前是规则模式，避免误解演示效果。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2　打分为主观评价：</w:t>
      </w:r>
      <w:r>
        <w:rPr>
          <w:rFonts w:ascii="Times New Roman" w:hAnsi="Times New Roman" w:eastAsia="微软雅黑" w:cs="Times New Roman"/>
          <w:color w:val="2D2D2D"/>
          <w:sz w:val="21"/>
        </w:rPr>
        <w:t>原型评分来自个人使用体验，缺少量化指标，计划在后续版本用“代码量、缺陷数、实现同一场景耗时”做客观补充。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3　DeepSeek 延迟波动：</w:t>
      </w:r>
      <w:r>
        <w:rPr>
          <w:rFonts w:ascii="Times New Roman" w:hAnsi="Times New Roman" w:eastAsia="微软雅黑" w:cs="Times New Roman"/>
          <w:color w:val="2D2D2D"/>
          <w:sz w:val="21"/>
        </w:rPr>
        <w:t>高峰期单轮响应可能超过 3 秒，需要在前端给出“思考中”反馈，并把超时阈值与自动降级联动起来。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4　检查点库的膨胀：</w:t>
      </w:r>
      <w:r>
        <w:rPr>
          <w:rFonts w:ascii="Times New Roman" w:hAnsi="Times New Roman" w:eastAsia="微软雅黑" w:cs="Times New Roman"/>
          <w:color w:val="2D2D2D"/>
          <w:sz w:val="21"/>
        </w:rPr>
        <w:t>每个超级步全量快照在长议价线程中体积增长明显，后续要设置保留窗口或只回放关键节点。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5　Windows 异步 SQLite 路径：</w:t>
      </w:r>
      <w:r>
        <w:rPr>
          <w:rFonts w:ascii="Times New Roman" w:hAnsi="Times New Roman" w:eastAsia="微软雅黑" w:cs="Times New Roman"/>
          <w:color w:val="2D2D2D"/>
          <w:sz w:val="21"/>
        </w:rPr>
        <w:t>aiosqlite 与同步 SQLModel 在 FastAPI 中的混用边界要尽快定规矩，防止事件环阻塞。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6　议价参数仍是经验值：</w:t>
      </w:r>
      <w:r>
        <w:rPr>
          <w:rFonts w:ascii="Times New Roman" w:hAnsi="Times New Roman" w:eastAsia="微软雅黑" w:cs="Times New Roman"/>
          <w:color w:val="2D2D2D"/>
          <w:sz w:val="21"/>
        </w:rPr>
        <w:t>5 轮 / 120 秒与让步曲线缺少数据支撑，需要剧本批量运行后再调。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04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下周计划（2026.10.12 — 2026.10.18）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下周进入正式编码，首先冻结 SRS V4 需求基线，然后自底向上搭建工程骨架、数据模型与通信内核，确保无 Key 一键启动，具体安排如下：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680"/>
        <w:gridCol w:w="1814"/>
        <w:gridCol w:w="5329"/>
        <w:gridCol w:w="1134"/>
      </w:tblGrid>
      <w:tr>
        <w:trPr>
          <w:tblHeader/>
          <w:cantSplit/>
        </w:trPr>
        <w:tc>
          <w:tcPr>
            <w:tcW w:type="dxa" w:w="68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5329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关联问题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SRS V4.0 基线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冻结 15 项功能需求、9 项非功能需求、15 条验收标准与 C1–C8 场景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1、2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2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FastAPI 工程骨架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分层目录、lifespan、统一响应壳、全局异常处理、/api/health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数据模型与种子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11 张 SQLModel 表、WAL 初始化、含 2400320321 的幂等种子数据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支撑全模块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4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认证鉴权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注册登录、bcrypt、JWT 与角色守卫、冻结拦截，配 httpx 测试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安全基线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通信内核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黑板 reducer、ACL 总线、Agent 基类与注册表；可插拔示例测试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AC-9/11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6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无 Key 启动验证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全新环境不配置 Key 启动成功，健康检查返回 rule 模式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检查点接入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SQLite Checkpointer 初始化与按线程轨迹查询接口雏形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4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8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每日联调习惯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后端每个模块配最小自测，接口返回统一壳并写入启动文档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5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下周工作计划表</w:t>
      </w:r>
    </w:p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◆  本周小结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本周用 2026 年的最新事实完成了最关键的技术决策：LangGraph 单框架 + DeepSeek/RuleLLM 双通道，风险最大的 AutoGen 依赖被提前排除；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两个最小原型把“文档上可行”变成了“代码里跑过”。下周需求基线冻结后即进入全面编码，先打牢骨架、数据与通信内核三层地基。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8DEE6"/>
      </w:pBdr>
    </w:pPr>
    <w:r/>
    <w:r>
      <w:rPr>
        <w:rFonts w:ascii="Times New Roman" w:hAnsi="Times New Roman" w:eastAsia="微软雅黑" w:cs="Times New Roman"/>
        <w:color w:val="6E7785"/>
        <w:sz w:val="18"/>
      </w:rPr>
      <w:t xml:space="preserve">—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PAGE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/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NUMPAGES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A84C"/>
      </w:pBdr>
    </w:pPr>
    <w:r/>
    <w:r>
      <w:rPr>
        <w:rFonts w:ascii="Times New Roman" w:hAnsi="Times New Roman" w:eastAsia="微软雅黑" w:cs="Times New Roman"/>
        <w:color w:val="6E7785"/>
        <w:sz w:val="16"/>
      </w:rPr>
      <w:t>校园二手交易平台的 Multi-Agent 设计与实现　|　项目周报 · 第 4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微软雅黑" w:cs="Times New Roman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