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  <w:tblLayout w:type="fixed"/>
        <w:tblCellMar>
          <w:top w:w="520" w:type="dxa"/>
          <w:left w:w="300" w:type="dxa"/>
          <w:bottom w:w="420" w:type="dxa"/>
          <w:right w:w="300" w:type="dxa"/>
        </w:tblCellMar>
      </w:tblPr>
      <w:tblGrid>
        <w:gridCol w:w="8958"/>
      </w:tblGrid>
      <w:tr>
        <w:trPr>
          <w:trHeight w:val="4876" w:hRule="atLeast"/>
        </w:trPr>
        <w:tc>
          <w:tcPr>
            <w:tcW w:type="dxa" w:w="8958"/>
            <w:shd w:val="clear" w:color="auto" w:fill="1F3A5F"/>
            <w:vAlign w:val="center"/>
          </w:tcPr>
          <w:p>
            <w:r/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C9A84C"/>
                <w:sz w:val="21"/>
              </w:rPr>
              <w:t>MULTI-AGENT SYSTEM  ·  WEEKLY REPORT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50"/>
              </w:rPr>
              <w:t>校园二手交易平台的</w:t>
            </w:r>
          </w:p>
          <w:p>
            <w:pPr>
              <w:spacing w:after="20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50"/>
              </w:rPr>
              <w:t>Multi-Agent 设计与实现</w:t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C9A84C"/>
                <w:sz w:val="20"/>
              </w:rPr>
              <w:t>◆　◆　◆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E4D39C"/>
                <w:sz w:val="25"/>
              </w:rPr>
              <w:t>FastAPI 工程骨架  ×  黑板 SSOT / ACL 通信内核  专题周报</w:t>
            </w:r>
          </w:p>
        </w:tc>
      </w:tr>
    </w:tbl>
    <w:p>
      <w:pPr>
        <w:spacing w:before="440" w:after="80"/>
        <w:jc w:val="center"/>
      </w:pPr>
      <w:r>
        <w:rPr>
          <w:rFonts w:ascii="Times New Roman" w:hAnsi="Times New Roman" w:eastAsia="微软雅黑" w:cs="Times New Roman"/>
          <w:b/>
          <w:color w:val="C9A84C"/>
          <w:sz w:val="30"/>
        </w:rPr>
        <w:t>项 目 研 究 周 报</w:t>
      </w:r>
    </w:p>
    <w:p>
      <w:pPr>
        <w:spacing w:after="320"/>
        <w:jc w:val="center"/>
      </w:pPr>
      <w:r>
        <w:rPr>
          <w:rFonts w:ascii="Times New Roman" w:hAnsi="Times New Roman" w:eastAsia="微软雅黑" w:cs="Times New Roman"/>
          <w:color w:val="6E7785"/>
          <w:sz w:val="22"/>
        </w:rPr>
        <w:t>第 5 周 · 工程骨架与通信内核周</w:t>
      </w:r>
    </w:p>
    <w:tbl>
      <w:tblPr>
        <w:tblW w:type="dxa" w:w="7484"/>
        <w:jc w:val="center"/>
        <w:tblLook w:firstColumn="1" w:firstRow="1" w:lastColumn="0" w:lastRow="0" w:noHBand="0" w:noVBand="1" w:val="04A0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41"/>
        <w:gridCol w:w="5443"/>
      </w:tblGrid>
      <w:tr>
        <w:trPr>
          <w:cantSplit/>
        </w:trPr>
        <w:tc>
          <w:tcPr>
            <w:tcW w:type="dxa" w:w="2041"/>
            <w:shd w:val="clear" w:color="auto" w:fill="1F3A5F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报告周期</w:t>
            </w:r>
          </w:p>
        </w:tc>
        <w:tc>
          <w:tcPr>
            <w:tcW w:type="dxa" w:w="5443"/>
            <w:shd w:val="clear" w:color="auto" w:fill="FAF7EE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2026 年 10 月 12 日 — 10 月 18 日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2E5C8A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学　　号</w:t>
            </w:r>
          </w:p>
        </w:tc>
        <w:tc>
          <w:tcPr>
            <w:tcW w:type="dxa" w:w="5443"/>
            <w:shd w:val="clear" w:color="auto" w:fill="FFFFFF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2400320321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1F3A5F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姓　　名</w:t>
            </w:r>
          </w:p>
        </w:tc>
        <w:tc>
          <w:tcPr>
            <w:tcW w:type="dxa" w:w="5443"/>
            <w:shd w:val="clear" w:color="auto" w:fill="FAF7EE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梁奕琦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2E5C8A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指导教师</w:t>
            </w:r>
          </w:p>
        </w:tc>
        <w:tc>
          <w:tcPr>
            <w:tcW w:type="dxa" w:w="5443"/>
            <w:shd w:val="clear" w:color="auto" w:fill="FFFFFF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曾志新　老师</w:t>
            </w:r>
          </w:p>
        </w:tc>
      </w:tr>
    </w:tbl>
    <w:p>
      <w:pPr>
        <w:spacing w:before="400" w:after="40"/>
        <w:jc w:val="center"/>
      </w:pPr>
      <w:r>
        <w:rPr>
          <w:rFonts w:ascii="Times New Roman" w:hAnsi="Times New Roman" w:eastAsia="微软雅黑" w:cs="Times New Roman"/>
          <w:b/>
          <w:color w:val="1F3A5F"/>
          <w:sz w:val="34"/>
        </w:rPr>
        <w:t>2026.10.12  —  10.18</w:t>
      </w:r>
    </w:p>
    <w:p>
      <w:pPr>
        <w:jc w:val="center"/>
      </w:pPr>
      <w:r>
        <w:rPr>
          <w:rFonts w:ascii="Times New Roman" w:hAnsi="Times New Roman" w:eastAsia="微软雅黑" w:cs="Times New Roman"/>
          <w:color w:val="6E7785"/>
          <w:sz w:val="20"/>
        </w:rPr>
        <w:t>提交日期：2026 年 10 月 20 日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22"/>
        </w:rPr>
        <w:t>CONTENTS</w:t>
      </w:r>
    </w:p>
    <w:p>
      <w:pPr>
        <w:spacing w:after="200"/>
        <w:jc w:val="center"/>
      </w:pPr>
      <w:r>
        <w:rPr>
          <w:rFonts w:ascii="Times New Roman" w:hAnsi="Times New Roman" w:eastAsia="微软雅黑" w:cs="Times New Roman"/>
          <w:b/>
          <w:color w:val="1F3A5F"/>
          <w:sz w:val="44"/>
        </w:rPr>
        <w:t>目　录</w:t>
      </w:r>
    </w:p>
    <w:p>
      <w:pPr>
        <w:spacing w:after="280"/>
        <w:jc w:val="center"/>
      </w:pPr>
      <w:r>
        <w:rPr>
          <w:rFonts w:ascii="Times New Roman" w:hAnsi="Times New Roman" w:eastAsia="微软雅黑" w:cs="Times New Roman"/>
          <w:color w:val="C9A84C"/>
          <w:sz w:val="20"/>
        </w:rPr>
        <w:t>— · — · — · — · —</w:t>
      </w:r>
    </w:p>
    <w:p>
      <w:r>
        <w:fldChar w:fldCharType="begin"/>
      </w:r>
      <w:r>
        <w:instrText xml:space="preserve"> TOC \o "1-2" \h \z \u </w:instrText>
      </w:r>
      <w:r>
        <w:rPr>
          <w:rFonts w:ascii="Times New Roman" w:hAnsi="Times New Roman" w:eastAsia="微软雅黑" w:cs="Times New Roman"/>
          <w:color w:val="6E7785"/>
          <w:sz w:val="20"/>
        </w:rPr>
        <w:t>打开文档后如目录未显示页码，请在目录上右键选择“更新域”。</w:t>
      </w:r>
      <w:r>
        <w:fldChar w:fldCharType="end"/>
      </w:r>
    </w:p>
    <w:p>
      <w:r>
        <w:br w:type="page"/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01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本周学习笔记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本周正式进入编码阶段，学习内容围绕“怎么把 FastAPI、SQLModel、JWT、消息总线这些零件拼成一个可扩展的工程骨架”展开，同时深入实践了黑板模式、注册表模式与检查点持久化，为后续九个 Agent 的并行开发铺路。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1.1  FastAPI 分层与依赖注入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APIRouter 分模块注册：</w:t>
      </w:r>
      <w:r>
        <w:rPr>
          <w:rFonts w:ascii="Times New Roman" w:hAnsi="Times New Roman" w:eastAsia="微软雅黑" w:cs="Times New Roman"/>
          <w:color w:val="2D2D2D"/>
          <w:sz w:val="21"/>
        </w:rPr>
        <w:t>auth、items、market、negotiation、orders、social、moderation 各占一个路由文件，由 api 包统一汇总，避免入口文件膨胀。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lifespan 管理生命周期：</w:t>
      </w:r>
      <w:r>
        <w:rPr>
          <w:rFonts w:ascii="Times New Roman" w:hAnsi="Times New Roman" w:eastAsia="微软雅黑" w:cs="Times New Roman"/>
          <w:color w:val="2D2D2D"/>
          <w:sz w:val="21"/>
        </w:rPr>
        <w:t>建表、跑种子、初始化检查点、绑定事件循环、引导注册 Agent 全部在 lifespan 中按序完成，关闭时再释放检查点资源。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依赖即鉴权：</w:t>
      </w:r>
      <w:r>
        <w:rPr>
          <w:rFonts w:ascii="Times New Roman" w:hAnsi="Times New Roman" w:eastAsia="微软雅黑" w:cs="Times New Roman"/>
          <w:color w:val="2D2D2D"/>
          <w:sz w:val="21"/>
        </w:rPr>
        <w:t>用 Depends(get_current_user) 把“当前用户从哪来、是否冻结、角色是否匹配”收口成一个依赖，接口只声明需要什么角色。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1.2  SQLModel + SQLite WAL 实战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模型即表：</w:t>
      </w:r>
      <w:r>
        <w:rPr>
          <w:rFonts w:ascii="Times New Roman" w:hAnsi="Times New Roman" w:eastAsia="微软雅黑" w:cs="Times New Roman"/>
          <w:color w:val="2D2D2D"/>
          <w:sz w:val="21"/>
        </w:rPr>
        <w:t>SQLModel 兼具体检 Pydantic 与 ORM 能力，一套模型既做接口 Schema 又做数据库表，字段类型注解直接驱动建表。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统一同步访问：</w:t>
      </w:r>
      <w:r>
        <w:rPr>
          <w:rFonts w:ascii="Times New Roman" w:hAnsi="Times New Roman" w:eastAsia="微软雅黑" w:cs="Times New Roman"/>
          <w:color w:val="2D2D2D"/>
          <w:sz w:val="21"/>
        </w:rPr>
        <w:t>鉴于 SQLite 与演示场景，数据访问统一走同步引擎（WAL 提升并发），避免同步/异步 session 混用阻塞事件环。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外键与枚举：</w:t>
      </w:r>
      <w:r>
        <w:rPr>
          <w:rFonts w:ascii="Times New Roman" w:hAnsi="Times New Roman" w:eastAsia="微软雅黑" w:cs="Times New Roman"/>
          <w:color w:val="2D2D2D"/>
          <w:sz w:val="21"/>
        </w:rPr>
        <w:t>外键用 foreign_key 声明，状态用 StrEnum 落库，种子脚本幂等执行（先查后插），反复初始化不产生脏数据。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1.3  JWT + bcrypt 认证机制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口令只存哈希：</w:t>
      </w:r>
      <w:r>
        <w:rPr>
          <w:rFonts w:ascii="Times New Roman" w:hAnsi="Times New Roman" w:eastAsia="微软雅黑" w:cs="Times New Roman"/>
          <w:color w:val="2D2D2D"/>
          <w:sz w:val="21"/>
        </w:rPr>
        <w:t>注册时 bcrypt 加盐哈希，数据库中不保留任何明文口令；登录用 bcrypt 校验，错误口令统一返回 401。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无状态 JWT：</w:t>
      </w:r>
      <w:r>
        <w:rPr>
          <w:rFonts w:ascii="Times New Roman" w:hAnsi="Times New Roman" w:eastAsia="微软雅黑" w:cs="Times New Roman"/>
          <w:color w:val="2D2D2D"/>
          <w:sz w:val="21"/>
        </w:rPr>
        <w:t>登录成功签发携带 user_id 与角色的 JWT，后续请求走 Bearer Token；过期或伪造令牌在依赖层拦截。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冻结不等于注销：</w:t>
      </w:r>
      <w:r>
        <w:rPr>
          <w:rFonts w:ascii="Times New Roman" w:hAnsi="Times New Roman" w:eastAsia="微软雅黑" w:cs="Times New Roman"/>
          <w:color w:val="2D2D2D"/>
          <w:sz w:val="21"/>
        </w:rPr>
        <w:t>被冻结账号禁止任何交易动作但保留申诉入口，对应需求中“冻结账号禁止交易但可申诉”。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1.4  黑板模式与 Reducer 写纪律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单一事实源：</w:t>
      </w:r>
      <w:r>
        <w:rPr>
          <w:rFonts w:ascii="Times New Roman" w:hAnsi="Times New Roman" w:eastAsia="微软雅黑" w:cs="Times New Roman"/>
          <w:color w:val="2D2D2D"/>
          <w:sz w:val="21"/>
        </w:rPr>
        <w:t>黑板由 LangGraph 类型化 State 承载，商品池、会话、订单、冲突事件、Agent 健康位都只允许通过 reducer 写入。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私有状态可纠偏：</w:t>
      </w:r>
      <w:r>
        <w:rPr>
          <w:rFonts w:ascii="Times New Roman" w:hAnsi="Times New Roman" w:eastAsia="微软雅黑" w:cs="Times New Roman"/>
          <w:color w:val="2D2D2D"/>
          <w:sz w:val="21"/>
        </w:rPr>
        <w:t>Agent 可以缓存私有视图，但每次行动前与黑板比对；不一致即以 SSOT 为准自动纠正并记录偏差来源（C7）。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消息不留共享可变状态：</w:t>
      </w:r>
      <w:r>
        <w:rPr>
          <w:rFonts w:ascii="Times New Roman" w:hAnsi="Times New Roman" w:eastAsia="微软雅黑" w:cs="Times New Roman"/>
          <w:color w:val="2D2D2D"/>
          <w:sz w:val="21"/>
        </w:rPr>
        <w:t>Agent 之间只通过 ACL 消息传值，不允许互相持有对方的可变对象，从规范上消灭隐式耦合。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1.5  发布订阅总线与注册表模式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事件总线：</w:t>
      </w:r>
      <w:r>
        <w:rPr>
          <w:rFonts w:ascii="Times New Roman" w:hAnsi="Times New Roman" w:eastAsia="微软雅黑" w:cs="Times New Roman"/>
          <w:color w:val="2D2D2D"/>
          <w:sz w:val="21"/>
        </w:rPr>
        <w:t>基于 asyncio 的发布订阅总线把消息分发与业务处理解耦，总线按 conversation_id 投递，总线本身不做业务判断。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注册表即“通讯录”：</w:t>
      </w:r>
      <w:r>
        <w:rPr>
          <w:rFonts w:ascii="Times New Roman" w:hAnsi="Times New Roman" w:eastAsia="微软雅黑" w:cs="Times New Roman"/>
          <w:color w:val="2D2D2D"/>
          <w:sz w:val="21"/>
        </w:rPr>
        <w:t>Agent 启动时向注册表登记名字与能力，协调者按名字解析目标；新增 Agent 只需登记，协调核心零改动（AC-9）。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熔断有处可依：</w:t>
      </w:r>
      <w:r>
        <w:rPr>
          <w:rFonts w:ascii="Times New Roman" w:hAnsi="Times New Roman" w:eastAsia="微软雅黑" w:cs="Times New Roman"/>
          <w:color w:val="2D2D2D"/>
          <w:sz w:val="21"/>
        </w:rPr>
        <w:t>注册表同时维护健康位，Agent 被熔断后协调者可把它的职责临时收回代管，恢复后再交还。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1.6  检查点持久化与轨迹查询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SQLite Saver：</w:t>
      </w:r>
      <w:r>
        <w:rPr>
          <w:rFonts w:ascii="Times New Roman" w:hAnsi="Times New Roman" w:eastAsia="微软雅黑" w:cs="Times New Roman"/>
          <w:color w:val="2D2D2D"/>
          <w:sz w:val="21"/>
        </w:rPr>
        <w:t>接入 langgraph-checkpoint-sqlite，按 graph_thread_id 保存每个超级步的状态快照，与业务库分离为 checkpoints.db。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轨迹是答辩资产：</w:t>
      </w:r>
      <w:r>
        <w:rPr>
          <w:rFonts w:ascii="Times New Roman" w:hAnsi="Times New Roman" w:eastAsia="微软雅黑" w:cs="Times New Roman"/>
          <w:color w:val="2D2D2D"/>
          <w:sz w:val="21"/>
        </w:rPr>
        <w:t>一次议价或仲裁结束后，可按线程拉取逐步消息、结论、置信度与升级路径，决策回放就是最好的可解释证据。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1.7  幂等种子数据工程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一键还原演示环境：</w:t>
      </w:r>
      <w:r>
        <w:rPr>
          <w:rFonts w:ascii="Times New Roman" w:hAnsi="Times New Roman" w:eastAsia="微软雅黑" w:cs="Times New Roman"/>
          <w:color w:val="2D2D2D"/>
          <w:sz w:val="21"/>
        </w:rPr>
        <w:t>种子包含含 2400320321 在内的买卖账号、管理员、多类目商品、历史成交价与初始信用分，启动即得可演示数据集。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幂等设计：</w:t>
      </w:r>
      <w:r>
        <w:rPr>
          <w:rFonts w:ascii="Times New Roman" w:hAnsi="Times New Roman" w:eastAsia="微软雅黑" w:cs="Times New Roman"/>
          <w:color w:val="2D2D2D"/>
          <w:sz w:val="21"/>
        </w:rPr>
        <w:t>所有种子先按自然键查询再插入，重复执行 lifespan 不会产生重复账号或商品。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1.8  HTTP 请求的分层穿透与横切关注点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一次请求八步穿透：</w:t>
      </w:r>
      <w:r>
        <w:rPr>
          <w:rFonts w:ascii="Times New Roman" w:hAnsi="Times New Roman" w:eastAsia="微软雅黑" w:cs="Times New Roman"/>
          <w:color w:val="2D2D2D"/>
          <w:sz w:val="21"/>
        </w:rPr>
        <w:t>浏览器 → APIRouter → deps 鉴权 → Agent/Graph → kernel/DB，再沿原路返回；把链路画成泳道图后，鉴权、业务、持久化的边界一目了然。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横切关注点统一下沉：</w:t>
      </w:r>
      <w:r>
        <w:rPr>
          <w:rFonts w:ascii="Times New Roman" w:hAnsi="Times New Roman" w:eastAsia="微软雅黑" w:cs="Times New Roman"/>
          <w:color w:val="2D2D2D"/>
          <w:sz w:val="21"/>
        </w:rPr>
        <w:t>CORS、统一异常处理、trace_id 结构化日志不属于任何业务模块，集中在中间件与依赖层实现，避免业务代码里到处复制 try/except。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启动也是一条流水线：</w:t>
      </w:r>
      <w:r>
        <w:rPr>
          <w:rFonts w:ascii="Times New Roman" w:hAnsi="Times New Roman" w:eastAsia="微软雅黑" w:cs="Times New Roman"/>
          <w:color w:val="2D2D2D"/>
          <w:sz w:val="21"/>
        </w:rPr>
        <w:t>lifespan 中“建表 → 种子 → 检查点 → 总线 → 子图 → Agent 注册”严格有序，前一步失败即快速中止，杜绝“半启动”的不确定状态。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360"/>
        <w:gridCol w:w="1814"/>
        <w:gridCol w:w="3175"/>
        <w:gridCol w:w="2608"/>
      </w:tblGrid>
      <w:tr>
        <w:trPr>
          <w:tblHeader/>
          <w:cantSplit/>
        </w:trPr>
        <w:tc>
          <w:tcPr>
            <w:tcW w:type="dxa" w:w="136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3175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608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本周关键产出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API 路由层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app/api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REST 接口、鉴权依赖、请求校验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routes_auth + deps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Agent 层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app/agents</w:t>
            </w:r>
          </w:p>
        </w:tc>
        <w:tc>
          <w:tcPr>
            <w:tcW w:type="dxa" w:w="317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Agent 基类、引导注册、业务节点</w:t>
            </w:r>
          </w:p>
        </w:tc>
        <w:tc>
          <w:tcPr>
            <w:tcW w:type="dxa" w:w="260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base.py / bootstrap.py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编排层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app/graph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运行器、人工门、检查点、流程子图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checkpoint.py / gates.py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通信内核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app/kernel</w:t>
            </w:r>
          </w:p>
        </w:tc>
        <w:tc>
          <w:tcPr>
            <w:tcW w:type="dxa" w:w="317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黑板、消息总线、ACL、注册表、事件</w:t>
            </w:r>
          </w:p>
        </w:tc>
        <w:tc>
          <w:tcPr>
            <w:tcW w:type="dxa" w:w="260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blackboard / hub / acl / registry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能力层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app/llm · models · core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模型适配、数据表、配置与安全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client.py / tables.py / security.py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数据层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app/seeds + SQLite</w:t>
            </w:r>
          </w:p>
        </w:tc>
        <w:tc>
          <w:tcPr>
            <w:tcW w:type="dxa" w:w="317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幂等种子与 WAL 数据库</w:t>
            </w:r>
          </w:p>
        </w:tc>
        <w:tc>
          <w:tcPr>
            <w:tcW w:type="dxa" w:w="260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seed.py / campus_mas.db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1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后端六层结构与本周落地产出</w:t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02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本周完成的项目内容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10 月 13 日 SRS V4.0 需求基线正式冻结，本周在此基础上完成了工程骨架、11 张数据表与种子、JWT 认证、通信内核四大块，健康检查在无 Key 条件下返回 rule 模式，系统具备了挂载全部 Agent 的地基。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2.1  SRS V4.0 需求基线冻结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V4.0 综合前四轮迭代，把“可运行、可演示、可解释、可复现”写成可验收条目：15 项功能需求、9 项非功能需求、15 条验收标准（12 条 rule + 3 条 rubric）、C1–C8 共 8 类冲突场景与不少于 10 个剧本，成为后续开发与验收的统一基线。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27"/>
        <w:gridCol w:w="7030"/>
      </w:tblGrid>
      <w:tr>
        <w:trPr>
          <w:tblHeader/>
          <w:cantSplit/>
        </w:trPr>
        <w:tc>
          <w:tcPr>
            <w:tcW w:type="dxa" w:w="192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基线条目</w:t>
            </w:r>
          </w:p>
        </w:tc>
        <w:tc>
          <w:tcPr>
            <w:tcW w:type="dxa" w:w="703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V4.0 冻结内容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功能需求 FR</w:t>
            </w:r>
          </w:p>
        </w:tc>
        <w:tc>
          <w:tcPr>
            <w:tcW w:type="dxa" w:w="7030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FR-1 ~ FR-15：账号、9 类 Agent 能力、ACL 协议、人工工作台、审计、剧本模拟与 Web 前端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非功能需求 NFR</w:t>
            </w:r>
          </w:p>
        </w:tc>
        <w:tc>
          <w:tcPr>
            <w:tcW w:type="dxa" w:w="7030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NFR-1 ~ NFR-9：可解释、一致性、秒级响应、安全、可插拔、LLM 稳定、无 Key 可演、可观测、工程质量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验收标准 AC</w:t>
            </w:r>
          </w:p>
        </w:tc>
        <w:tc>
          <w:tcPr>
            <w:tcW w:type="dxa" w:w="7030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12 条 rule（如并发恰一成交、veto 不可覆盖）+ 3 条 rubric（阈值 ≥4 分）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状态机</w:t>
            </w:r>
          </w:p>
        </w:tc>
        <w:tc>
          <w:tcPr>
            <w:tcW w:type="dxa" w:w="7030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商品 8 态 + 订单主链/异常分支，非法迁移一律拒绝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冲突资产</w:t>
            </w:r>
          </w:p>
        </w:tc>
        <w:tc>
          <w:tcPr>
            <w:tcW w:type="dxa" w:w="7030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C1–C8 八类场景矩阵 + ≥10 个可一键运行的剧本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2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SRS V4.0 需求基线关键数字（2026-10-13 冻结）</w:t>
      </w:r>
    </w:p>
    <w:p>
      <w:pPr>
        <w:spacing w:after="4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EAF3EE"/>
            <w:tcBorders>
              <w:top w:val="single" w:sz="4" w:space="0" w:color="4E8A6B"/>
              <w:left w:val="single" w:sz="30" w:space="0" w:color="4E8A6B"/>
              <w:bottom w:val="single" w:sz="4" w:space="0" w:color="4E8A6B"/>
              <w:right w:val="single" w:sz="4" w:space="0" w:color="4E8A6B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4E8A6B"/>
                <w:sz w:val="21"/>
              </w:rPr>
              <w:t>◆  基线的意义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此后所有开发任务（T2–T32）都能映射到具体 FR / AC，“做到什么程度算完成”有了客观尺子；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需求变更必须走版本迭代，开发期不再随意改口径，测试用例与剧本也在同一基线上编写。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2.2  FastAPI 工程骨架与统一响应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按六层结构建立 backend 工程（图 1），所有接口返回统一响应壳 {code, msg, data}，并注册全局异常处理器把 ApiError 转成标准错误响应；健康检查同时上报当前大模型模式，方便演示时一眼确认运行配置。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738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5_backend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3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1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后端六层工程骨架与运行时依赖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app/main.py（生命周期与健康检查）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@asynccontextmanager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async def lifespan(_app: FastAPI):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init_db()                         # 建表（WAL）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run_seeds()                       # 幂等种子（含 2400320321）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init_checkpointer()               # checkpoints.db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bus.bind_loop(asyncio.get_running_loop())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bootstrap_flows()                 # 发布/交易流程子图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bootstrap_agents()                # 注册表登记 9 类 Agent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yield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close_checkpointer()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@app.get("/api/health")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def health():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return ok({"status": "up",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   "llm_mode": "llm" if settings.llm_enabled else "rule",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   "model": settings.llm_model if settings.llm_enabled else "RuleLLM"})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# 统一响应壳：{"code":0,"msg":"ok","data":{ ... }}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2.3  数据模型与种子数据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11 张 SQLModel 表全部落地并完成 WAL 初始化；种子脚本写入买卖账号、管理员、多类目商品与历史成交价，启动后 campus_mas.db 即含完整演示数据。商品表的并发控制字段如下。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app/models/tables.py（商品表并发字段节选）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class ItemStatus(str, Enum):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DRAFT = "草稿"; PENDING = "待审核"; ON_SALE = "在售"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LOCKED = "被锁定"; DEAL = "已成交"; OFF = "下架"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REJECTED = "驳回"; FROZEN = "冻结"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class Item(SQLModel, table=True):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id: int | None = Field(default=None, primary_key=True)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title: str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status: ItemStatus = ItemStatus.DRAFT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price: float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version: int = 0                    # 乐观版本号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lock_token: str | None = None       # 预占锁令牌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lock_until: datetime | None = None  # 锁租约到期点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seller_id: int | None = Field(default=None, foreign_key="user.id")</w:t>
            </w:r>
          </w:p>
        </w:tc>
      </w:tr>
    </w:tbl>
    <w:p>
      <w:pPr>
        <w:spacing w:after="6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94"/>
        <w:gridCol w:w="2608"/>
        <w:gridCol w:w="3855"/>
      </w:tblGrid>
      <w:tr>
        <w:trPr>
          <w:tblHeader/>
          <w:cantSplit/>
        </w:trPr>
        <w:tc>
          <w:tcPr>
            <w:tcW w:type="dxa" w:w="249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表</w:t>
            </w:r>
          </w:p>
        </w:tc>
        <w:tc>
          <w:tcPr>
            <w:tcW w:type="dxa" w:w="2608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模型类</w:t>
            </w:r>
          </w:p>
        </w:tc>
        <w:tc>
          <w:tcPr>
            <w:tcW w:type="dxa" w:w="3855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users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User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账号 / 角色 / 信用分 / 冻结位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items</w:t>
            </w:r>
          </w:p>
        </w:tc>
        <w:tc>
          <w:tcPr>
            <w:tcW w:type="dxa" w:w="260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Item</w:t>
            </w:r>
          </w:p>
        </w:tc>
        <w:tc>
          <w:tcPr>
            <w:tcW w:type="dxa" w:w="385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商品档案、状态机、双锁字段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negotiations / offers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Negotiation / Offer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议价会话与逐轮出价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orders / reviews / appeals</w:t>
            </w:r>
          </w:p>
        </w:tc>
        <w:tc>
          <w:tcPr>
            <w:tcW w:type="dxa" w:w="260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Order / Review / Appeal</w:t>
            </w:r>
          </w:p>
        </w:tc>
        <w:tc>
          <w:tcPr>
            <w:tcW w:type="dxa" w:w="385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订单、互评、申诉与裁决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acl_messages / conflict_events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AclMessage / ConflictEvent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消息留痕与冲突事件审计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agent_status / audit_logs</w:t>
            </w:r>
          </w:p>
        </w:tc>
        <w:tc>
          <w:tcPr>
            <w:tcW w:type="dxa" w:w="260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AgentStatus / AuditLog</w:t>
            </w:r>
          </w:p>
        </w:tc>
        <w:tc>
          <w:tcPr>
            <w:tcW w:type="dxa" w:w="385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健康熔断位与操作日志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3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11 张数据表落地清单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2.4  注册登录与角色鉴权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完成注册、登录接口与 JWT 依赖：正确口令获得令牌，错误口令 401，越权访问管理员接口 403，冻结账号在依赖层被拦截并引导申诉；种子账号可直接登录，为前端联调做好准备。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app/api/deps.py（JWT 鉴权依赖）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def get_current_user(token: str = Depends(oauth2_scheme),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         session=Depends(get_session)) -&gt; User: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try: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payload = jwt.decode(token, settings.secret_key, algorithms=["HS256"])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user_id = int(payload["sub"])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except JWTError: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raise ApiError(401, "E-001", "登录凭证无效或已过期")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user = session.get(User, user_id)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if not user: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raise ApiError(401, "E-001", "用户不存在")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if user.status == UserStatus.FROZEN: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raise ApiError(403, "E-002", "账号已冻结，可发起申诉解冻")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return user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2.5  黑板 SSOT 与 ACL 通信内核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通信内核四件套全部落地：类型化黑板（reducer 合并写入）、asyncio 消息总线（按会话投递）、ACL 信封校验（缺字段/非法 performative 拒收）、Agent 注册表（登记/发现/熔断代管），并用一个示例 Agent 验证了“注册即可被协调者调用、核心零改动”的可插拔目标。协作时序如图 2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181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5_blackboard_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81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2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黑板 SSOT 与 ACL 消息总线协作时序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app/kernel/registry.py（Agent 注册表）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class AgentRegistry: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def __init__(self):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self._agents: dict[str, BaseAgent] = {}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def register(self, agent: BaseAgent) -&gt; None: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self._agents[agent.name] = agent          # 启动即登记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def resolve(self, name: str) -&gt; BaseAgent: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agent = self._agents.get(name)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if agent is None: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raise ApiError(503, "E-503", f"Agent 未注册：{name}")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if self.is_fused(name):                   # 熔断中 → 协调者代管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return self._agents["coordinator"]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return agent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def capabilities(self) -&gt; dict: ...           # 能力发现，支持可插拔（AC-9）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EDF2F8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2E5C8A"/>
                <w:sz w:val="21"/>
              </w:rPr>
              <w:t>✦  本周自测结论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① 无 API Key 启动成功，/api/health 返回 mode=rule；② 缺字段 ACL 消息被 Schema 拒收（E-101/E-102）；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③ 示例 Agent 注册后即可被调用，协调者代码零改动；④ 种子账号 2400320321 登录获取 JWT，越权访问返回 403。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2.6  受保护请求的分层穿透实测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以市场检索 GET /api/market/items 为例，把一次携带 Bearer Token 的真实请求按五层泳道拆解：Token 在 deps 层完成解码与冻结位校验，路由只负责调用 SearchAgent，数据经黑板/商品库读取后以统一壳返回；401/403 在鉴权层即被拦截，不进入业务层，如图 3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181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5_request_lif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81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3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一次受保护 API 请求的分层穿透生命周期（含 401/403 拦截点）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2.7  lifespan 启动编排与工程目录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把启动过程固化为七步有序流水线并实测计时：全新环境无 Key 冷启动 2.8 秒内完成前六步，健康检查立即返回 mode=rule，满足 NFR-7“无 Key 可复现”。启动编排如图 4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85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5_start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85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4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应用 lifespan 七步启动编排与关闭阶段资源释放</w:t>
      </w:r>
    </w:p>
    <w:tbl>
      <w:tblPr>
        <w:tblW w:type="dxa" w:w="8686"/>
        <w:jc w:val="center"/>
        <w:tblLook w:firstColumn="1" w:firstRow="1" w:lastColumn="0" w:lastRow="0" w:noHBand="0" w:noVBand="1" w:val="04A0"/>
        <w:tblBorders>
          <w:top w:val="single" w:sz="10" w:space="0" w:color="FFFFFF"/>
          <w:left w:val="single" w:sz="10" w:space="0" w:color="FFFFFF"/>
          <w:bottom w:val="single" w:sz="10" w:space="0" w:color="FFFFFF"/>
          <w:right w:val="single" w:sz="10" w:space="0" w:color="FFFFFF"/>
          <w:insideH w:val="single" w:sz="10" w:space="0" w:color="FFFFFF"/>
          <w:insideV w:val="single" w:sz="10" w:space="0" w:color="FFFFFF"/>
        </w:tblBorders>
        <w:tblLayout w:type="fixed"/>
        <w:tblCellMar>
          <w:top w:w="90" w:type="dxa"/>
          <w:left w:w="80" w:type="dxa"/>
          <w:bottom w:w="90" w:type="dxa"/>
          <w:right w:w="80" w:type="dxa"/>
        </w:tblCellMar>
      </w:tblPr>
      <w:tblGrid>
        <w:gridCol w:w="2171"/>
        <w:gridCol w:w="2171"/>
        <w:gridCol w:w="2171"/>
        <w:gridCol w:w="2171"/>
      </w:tblGrid>
      <w:tr>
        <w:trPr>
          <w:cantSplit/>
        </w:trPr>
        <w:tc>
          <w:tcPr>
            <w:tcW w:type="dxa" w:w="2171"/>
            <w:shd w:val="clear" w:color="auto" w:fill="F2F5F9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32"/>
              </w:rPr>
              <w:t>2.8s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无 Key 冷启动</w:t>
            </w:r>
          </w:p>
        </w:tc>
        <w:tc>
          <w:tcPr>
            <w:tcW w:type="dxa" w:w="2171"/>
            <w:shd w:val="clear" w:color="auto" w:fill="EDF2F8"/>
            <w:tcBorders>
              <w:top w:val="single" w:sz="4" w:space="0" w:color="2E5C8A"/>
              <w:left w:val="single" w:sz="4" w:space="0" w:color="2E5C8A"/>
              <w:bottom w:val="single" w:sz="4" w:space="0" w:color="2E5C8A"/>
              <w:right w:val="single" w:sz="4" w:space="0" w:color="2E5C8A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2E5C8A"/>
                <w:sz w:val="32"/>
              </w:rPr>
              <w:t>11 张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数据表自动建</w:t>
            </w:r>
          </w:p>
        </w:tc>
        <w:tc>
          <w:tcPr>
            <w:tcW w:type="dxa" w:w="2171"/>
            <w:shd w:val="clear" w:color="auto" w:fill="FAF7EE"/>
            <w:tcBorders>
              <w:top w:val="single" w:sz="4" w:space="0" w:color="9A7A24"/>
              <w:left w:val="single" w:sz="4" w:space="0" w:color="9A7A24"/>
              <w:bottom w:val="single" w:sz="4" w:space="0" w:color="9A7A24"/>
              <w:right w:val="single" w:sz="4" w:space="0" w:color="9A7A24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9A7A24"/>
                <w:sz w:val="32"/>
              </w:rPr>
              <w:t>7 步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启动流水线</w:t>
            </w:r>
          </w:p>
        </w:tc>
        <w:tc>
          <w:tcPr>
            <w:tcW w:type="dxa" w:w="2171"/>
            <w:shd w:val="clear" w:color="auto" w:fill="EAF3EE"/>
            <w:tcBorders>
              <w:top w:val="single" w:sz="4" w:space="0" w:color="4E8A6B"/>
              <w:left w:val="single" w:sz="4" w:space="0" w:color="4E8A6B"/>
              <w:bottom w:val="single" w:sz="4" w:space="0" w:color="4E8A6B"/>
              <w:right w:val="single" w:sz="4" w:space="0" w:color="4E8A6B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4E8A6B"/>
                <w:sz w:val="32"/>
              </w:rPr>
              <w:t>2 个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SQLite 数据库</w:t>
            </w:r>
          </w:p>
        </w:tc>
      </w:tr>
    </w:tbl>
    <w:p>
      <w:pPr>
        <w:spacing w:after="6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backend/ 工程目录树（本周落地部分）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backend/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├─ app/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│  ├─ main.py                # FastAPI 入口 + lifespan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│  ├─ core/                  # config · database · security · response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│  ├─ models/tables.py       # 11 张 SQLModel 表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│  ├─ schemas/               # auth · item · negotiation · order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│  ├─ kernel/                # blackboard · hub · acl · registry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│  ├─ graph/                 # runner · gates · checkpoint · flows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│  ├─ agents/                # base · bootstrap · goods · trade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│  ├─ llm/                   # client · rule_llm（双通道）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│  ├─ api/                   # 8 个路由模块 + deps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│  └─ seeds/                 # seed · banned_words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├─ campus_mas.db / checkpoints.db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└─ requirements.txt</w:t>
            </w:r>
          </w:p>
        </w:tc>
      </w:tr>
    </w:tbl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03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存在的问题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骨架跑通后，进入多模块并行开发前仍有以下问题需要处理：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1　黑板 reducer 粒度待细化：</w:t>
      </w:r>
      <w:r>
        <w:rPr>
          <w:rFonts w:ascii="Times New Roman" w:hAnsi="Times New Roman" w:eastAsia="微软雅黑" w:cs="Times New Roman"/>
          <w:color w:val="2D2D2D"/>
          <w:sz w:val="21"/>
        </w:rPr>
        <w:t>当前黑板按整块字典合并，后续议价轮次高频更新时需要按字段设计合并函数，避免消息列表相互覆盖。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2　同步引擎的吞吐上限：</w:t>
      </w:r>
      <w:r>
        <w:rPr>
          <w:rFonts w:ascii="Times New Roman" w:hAnsi="Times New Roman" w:eastAsia="微软雅黑" w:cs="Times New Roman"/>
          <w:color w:val="2D2D2D"/>
          <w:sz w:val="21"/>
        </w:rPr>
        <w:t>统一同步 SQLModel 简化了开发，但 WebSocket 长连接下可能占用工作线程，需要压测确认是否引入连接池大小限制。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3　检查点与业务库的数据一致性：</w:t>
      </w:r>
      <w:r>
        <w:rPr>
          <w:rFonts w:ascii="Times New Roman" w:hAnsi="Times New Roman" w:eastAsia="微软雅黑" w:cs="Times New Roman"/>
          <w:color w:val="2D2D2D"/>
          <w:sz w:val="21"/>
        </w:rPr>
        <w:t>状态快照在 checkpoints.db、业务事实在 campus_mas.db，两库不跨库事务，极端崩溃下要以业务库为准做恢复。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4　种子口令的演示安全：</w:t>
      </w:r>
      <w:r>
        <w:rPr>
          <w:rFonts w:ascii="Times New Roman" w:hAnsi="Times New Roman" w:eastAsia="微软雅黑" w:cs="Times New Roman"/>
          <w:color w:val="2D2D2D"/>
          <w:sz w:val="21"/>
        </w:rPr>
        <w:t>种子账号使用固定弱口令便于答辩登录，需要在文档与登录页显著标注“仅为课程演示数据”。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5　异常码还需补全：</w:t>
      </w:r>
      <w:r>
        <w:rPr>
          <w:rFonts w:ascii="Times New Roman" w:hAnsi="Times New Roman" w:eastAsia="微软雅黑" w:cs="Times New Roman"/>
          <w:color w:val="2D2D2D"/>
          <w:sz w:val="21"/>
        </w:rPr>
        <w:t>本周认证与内核场景又新增 E-001/002/503，通信与超时类编码要在下轮统一回表更新。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6　JWT 续期策略未定：</w:t>
      </w:r>
      <w:r>
        <w:rPr>
          <w:rFonts w:ascii="Times New Roman" w:hAnsi="Times New Roman" w:eastAsia="微软雅黑" w:cs="Times New Roman"/>
          <w:color w:val="2D2D2D"/>
          <w:sz w:val="21"/>
        </w:rPr>
        <w:t>目前令牌过期需重新登录，议价中途过期体验较差，计划用较长有效期 + 关键操作二次确认过渡。</w:t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04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下周计划（2026.10.19 — 2026.10.25）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下周开发“大脑”：接入 LLM 适配层与 RuleLLM、打通主编排图，并完成用户代理、商品、审核三个首批专家 Agent，使“发布→审核→上架”链路率先端到端跑通：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680"/>
        <w:gridCol w:w="1927"/>
        <w:gridCol w:w="5216"/>
        <w:gridCol w:w="1134"/>
      </w:tblGrid>
      <w:tr>
        <w:trPr>
          <w:tblHeader/>
          <w:cantSplit/>
        </w:trPr>
        <w:tc>
          <w:tcPr>
            <w:tcW w:type="dxa" w:w="68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计划任务</w:t>
            </w:r>
          </w:p>
        </w:tc>
        <w:tc>
          <w:tcPr>
            <w:tcW w:type="dxa" w:w="5216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具体内容与交付标准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关联问题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1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LLM 适配 + RuleLLM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五类确定性规则 + 结构化调用封装；无 Key 全量跑通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1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2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检查点轨迹服务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按线程查询逐步消息/结论/置信度的轨迹接口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3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3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主编排图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发布→审核→上架主链 happy path 图执行测试通过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AC-2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4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用户代理 Agent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意图结构化、画像与保留价、越界出价人工确认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FR-2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5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商品管理 Agent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建档、自动分类成色、历史价分位数建议区间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FR-3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6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内容审核 Agent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规则+模型双判定、veto 冻结、驳回重提一次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AC-1/FR-4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7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发布链路联调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自然语言发布→建档→审核→在售全链路打通并留痕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集成验证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8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异常码回表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把新增编码合并进《ACL 协议规范》异常码表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5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4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下周工作计划表</w:t>
      </w:r>
    </w:p>
    <w:p>
      <w:pPr>
        <w:spacing w:after="8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2F5F9"/>
            <w:tcBorders>
              <w:top w:val="single" w:sz="4" w:space="0" w:color="1F3A5F"/>
              <w:left w:val="single" w:sz="30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21"/>
              </w:rPr>
              <w:t>◆  本周小结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需求基线 V4.0 于 10 月 13 日冻结，本周同步完成了六层工程骨架、11 张表与种子、JWT 鉴权和黑板/总线/ACL/注册表通信内核；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系统已能在无 Key 条件下一键启动并通过四项关键自测。下周挂载大模型与首批专家 Agent，让第一条真实业务链路端到端跑起来。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04" w:right="1474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D8DEE6"/>
      </w:pBdr>
    </w:pPr>
    <w:r/>
    <w:r>
      <w:rPr>
        <w:rFonts w:ascii="Times New Roman" w:hAnsi="Times New Roman" w:eastAsia="微软雅黑" w:cs="Times New Roman"/>
        <w:color w:val="6E7785"/>
        <w:sz w:val="18"/>
      </w:rPr>
      <w:t xml:space="preserve">— </w:t>
    </w:r>
    <w:r>
      <w:rPr>
        <w:rFonts w:ascii="Times New Roman" w:hAnsi="Times New Roman" w:eastAsia="微软雅黑" w:cs="Times New Roman"/>
        <w:color w:val="6E7785"/>
        <w:sz w:val="18"/>
      </w:rPr>
      <w:fldChar w:fldCharType="begin"/>
    </w:r>
    <w:r>
      <w:rPr>
        <w:rFonts w:ascii="Times New Roman" w:hAnsi="Times New Roman" w:eastAsia="微软雅黑" w:cs="Times New Roman"/>
        <w:color w:val="6E7785"/>
        <w:sz w:val="18"/>
      </w:rPr>
      <w:instrText xml:space="preserve"> PAGE </w:instrText>
    </w:r>
    <w:r>
      <w:rPr>
        <w:rFonts w:ascii="Times New Roman" w:hAnsi="Times New Roman" w:eastAsia="微软雅黑" w:cs="Times New Roman"/>
        <w:color w:val="6E7785"/>
        <w:sz w:val="18"/>
      </w:rPr>
      <w:fldChar w:fldCharType="separate"/>
    </w:r>
    <w:r>
      <w:rPr>
        <w:rFonts w:ascii="Times New Roman" w:hAnsi="Times New Roman" w:eastAsia="微软雅黑" w:cs="Times New Roman"/>
        <w:color w:val="6E7785"/>
        <w:sz w:val="18"/>
      </w:rPr>
      <w:t>1</w:t>
    </w:r>
    <w:r>
      <w:rPr>
        <w:rFonts w:ascii="Times New Roman" w:hAnsi="Times New Roman" w:eastAsia="微软雅黑" w:cs="Times New Roman"/>
        <w:color w:val="6E7785"/>
        <w:sz w:val="18"/>
      </w:rPr>
      <w:fldChar w:fldCharType="end"/>
    </w:r>
    <w:r>
      <w:rPr>
        <w:rFonts w:ascii="Times New Roman" w:hAnsi="Times New Roman" w:eastAsia="微软雅黑" w:cs="Times New Roman"/>
        <w:color w:val="6E7785"/>
        <w:sz w:val="18"/>
      </w:rPr>
      <w:t xml:space="preserve"> / </w:t>
    </w:r>
    <w:r>
      <w:rPr>
        <w:rFonts w:ascii="Times New Roman" w:hAnsi="Times New Roman" w:eastAsia="微软雅黑" w:cs="Times New Roman"/>
        <w:color w:val="6E7785"/>
        <w:sz w:val="18"/>
      </w:rPr>
      <w:fldChar w:fldCharType="begin"/>
    </w:r>
    <w:r>
      <w:rPr>
        <w:rFonts w:ascii="Times New Roman" w:hAnsi="Times New Roman" w:eastAsia="微软雅黑" w:cs="Times New Roman"/>
        <w:color w:val="6E7785"/>
        <w:sz w:val="18"/>
      </w:rPr>
      <w:instrText xml:space="preserve"> NUMPAGES </w:instrText>
    </w:r>
    <w:r>
      <w:rPr>
        <w:rFonts w:ascii="Times New Roman" w:hAnsi="Times New Roman" w:eastAsia="微软雅黑" w:cs="Times New Roman"/>
        <w:color w:val="6E7785"/>
        <w:sz w:val="18"/>
      </w:rPr>
      <w:fldChar w:fldCharType="separate"/>
    </w:r>
    <w:r>
      <w:rPr>
        <w:rFonts w:ascii="Times New Roman" w:hAnsi="Times New Roman" w:eastAsia="微软雅黑" w:cs="Times New Roman"/>
        <w:color w:val="6E7785"/>
        <w:sz w:val="18"/>
      </w:rPr>
      <w:t>1</w:t>
    </w:r>
    <w:r>
      <w:rPr>
        <w:rFonts w:ascii="Times New Roman" w:hAnsi="Times New Roman" w:eastAsia="微软雅黑" w:cs="Times New Roman"/>
        <w:color w:val="6E7785"/>
        <w:sz w:val="18"/>
      </w:rPr>
      <w:fldChar w:fldCharType="end"/>
    </w:r>
    <w:r>
      <w:rPr>
        <w:rFonts w:ascii="Times New Roman" w:hAnsi="Times New Roman" w:eastAsia="微软雅黑" w:cs="Times New Roman"/>
        <w:color w:val="6E7785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C9A84C"/>
      </w:pBdr>
    </w:pPr>
    <w:r/>
    <w:r>
      <w:rPr>
        <w:rFonts w:ascii="Times New Roman" w:hAnsi="Times New Roman" w:eastAsia="微软雅黑" w:cs="Times New Roman"/>
        <w:color w:val="6E7785"/>
        <w:sz w:val="16"/>
      </w:rPr>
      <w:t>校园二手交易平台的 Multi-Agent 设计与实现　|　项目周报 · 第 5 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微软雅黑" w:cs="Times New Roman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