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  <w:tblLayout w:type="fixed"/>
        <w:tblCellMar>
          <w:top w:w="520" w:type="dxa"/>
          <w:left w:w="300" w:type="dxa"/>
          <w:bottom w:w="420" w:type="dxa"/>
          <w:right w:w="300" w:type="dxa"/>
        </w:tblCellMar>
      </w:tblPr>
      <w:tblGrid>
        <w:gridCol w:w="8958"/>
      </w:tblGrid>
      <w:tr>
        <w:trPr>
          <w:trHeight w:val="4876" w:hRule="atLeast"/>
        </w:trPr>
        <w:tc>
          <w:tcPr>
            <w:tcW w:type="dxa" w:w="8958"/>
            <w:shd w:val="clear" w:color="auto" w:fill="1F3A5F"/>
            <w:vAlign w:val="center"/>
          </w:tcPr>
          <w:p>
            <w:r/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C9A84C"/>
                <w:sz w:val="21"/>
              </w:rPr>
              <w:t>MULTI-AGENT SYSTEM  ·  WEEKLY REPORT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校园二手交易平台的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Multi-Agent 设计与实现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C9A84C"/>
                <w:sz w:val="20"/>
              </w:rPr>
              <w:t>◆　◆　◆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E4D39C"/>
                <w:sz w:val="25"/>
              </w:rPr>
              <w:t>LLM + RuleLLM 双通道  ×  主编排图与专家节点  专题周报</w:t>
            </w:r>
          </w:p>
        </w:tc>
      </w:tr>
    </w:tbl>
    <w:p>
      <w:pPr>
        <w:spacing w:before="440" w:after="80"/>
        <w:jc w:val="center"/>
      </w:pPr>
      <w:r>
        <w:rPr>
          <w:rFonts w:ascii="Times New Roman" w:hAnsi="Times New Roman" w:eastAsia="微软雅黑" w:cs="Times New Roman"/>
          <w:b/>
          <w:color w:val="C9A84C"/>
          <w:sz w:val="30"/>
        </w:rPr>
        <w:t>项 目 研 究 周 报</w:t>
      </w:r>
    </w:p>
    <w:p>
      <w:pPr>
        <w:spacing w:after="320"/>
        <w:jc w:val="center"/>
      </w:pPr>
      <w:r>
        <w:rPr>
          <w:rFonts w:ascii="Times New Roman" w:hAnsi="Times New Roman" w:eastAsia="微软雅黑" w:cs="Times New Roman"/>
          <w:color w:val="6E7785"/>
          <w:sz w:val="22"/>
        </w:rPr>
        <w:t>第 6 周 · 核心 Agent 与编排图开发周</w:t>
      </w:r>
    </w:p>
    <w:tbl>
      <w:tblPr>
        <w:tblW w:type="dxa" w:w="7484"/>
        <w:jc w:val="center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41"/>
        <w:gridCol w:w="5443"/>
      </w:tblGrid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2026 年 10 月 19 日 — 10 月 25 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2400320321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曾志新　老师</w:t>
            </w:r>
          </w:p>
        </w:tc>
      </w:tr>
    </w:tbl>
    <w:p>
      <w:pPr>
        <w:spacing w:before="400" w:after="40"/>
        <w:jc w:val="center"/>
      </w:pPr>
      <w:r>
        <w:rPr>
          <w:rFonts w:ascii="Times New Roman" w:hAnsi="Times New Roman" w:eastAsia="微软雅黑" w:cs="Times New Roman"/>
          <w:b/>
          <w:color w:val="1F3A5F"/>
          <w:sz w:val="34"/>
        </w:rPr>
        <w:t>2026.10.19  —  10.25</w:t>
      </w:r>
    </w:p>
    <w:p>
      <w:pPr>
        <w:jc w:val="center"/>
      </w:pPr>
      <w:r>
        <w:rPr>
          <w:rFonts w:ascii="Times New Roman" w:hAnsi="Times New Roman" w:eastAsia="微软雅黑" w:cs="Times New Roman"/>
          <w:color w:val="6E7785"/>
          <w:sz w:val="20"/>
        </w:rPr>
        <w:t>提交日期：2026 年 10 月 27 日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22"/>
        </w:rPr>
        <w:t>CONTENTS</w:t>
      </w:r>
    </w:p>
    <w:p>
      <w:pPr>
        <w:spacing w:after="200"/>
        <w:jc w:val="center"/>
      </w:pPr>
      <w:r>
        <w:rPr>
          <w:rFonts w:ascii="Times New Roman" w:hAnsi="Times New Roman" w:eastAsia="微软雅黑" w:cs="Times New Roman"/>
          <w:b/>
          <w:color w:val="1F3A5F"/>
          <w:sz w:val="44"/>
        </w:rPr>
        <w:t>目　录</w:t>
      </w:r>
    </w:p>
    <w:p>
      <w:pPr>
        <w:spacing w:after="280"/>
        <w:jc w:val="center"/>
      </w:pPr>
      <w:r>
        <w:rPr>
          <w:rFonts w:ascii="Times New Roman" w:hAnsi="Times New Roman" w:eastAsia="微软雅黑" w:cs="Times New Roman"/>
          <w:color w:val="C9A84C"/>
          <w:sz w:val="20"/>
        </w:rPr>
        <w:t>— · — · — · — · —</w:t>
      </w:r>
    </w:p>
    <w:p>
      <w:r>
        <w:fldChar w:fldCharType="begin"/>
      </w:r>
      <w:r>
        <w:instrText xml:space="preserve"> TOC \o "1-2" \h \z \u </w:instrText>
      </w:r>
      <w:r>
        <w:rPr>
          <w:rFonts w:ascii="Times New Roman" w:hAnsi="Times New Roman" w:eastAsia="微软雅黑" w:cs="Times New Roman"/>
          <w:color w:val="6E7785"/>
          <w:sz w:val="20"/>
        </w:rPr>
        <w:t>打开文档后如目录未显示页码，请在目录上右键选择“更新域”。</w:t>
      </w:r>
      <w:r>
        <w:fldChar w:fldCharType="end"/>
      </w:r>
    </w:p>
    <w:p>
      <w:r>
        <w:br w:type="page"/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01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本周学习笔记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本周围绕“让 Agent 真正聪明起来又不失控”学习：系统实践了面向结构化输出的提示词工程、意图识别与槽位填充、规则与模型双路审核，掌握了 LangGraph 子图组合与条件路由，并把 Agent 统一收口到同一个基类契约下，为九个节点的并行开发建立规范。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1.1  面向结构化输出的提示词工程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系统提示词模板化：</w:t>
      </w:r>
      <w:r>
        <w:rPr>
          <w:rFonts w:ascii="Times New Roman" w:hAnsi="Times New Roman" w:eastAsia="微软雅黑" w:cs="Times New Roman"/>
          <w:color w:val="2D2D2D"/>
          <w:sz w:val="21"/>
        </w:rPr>
        <w:t>把角色定义、任务目标、输出 JSON Schema、3 个少样本示例固化进 system 消息，模型只负责“填表”，显著降低自由发挥。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低温与枚举约束：</w:t>
      </w:r>
      <w:r>
        <w:rPr>
          <w:rFonts w:ascii="Times New Roman" w:hAnsi="Times New Roman" w:eastAsia="微软雅黑" w:cs="Times New Roman"/>
          <w:color w:val="2D2D2D"/>
          <w:sz w:val="21"/>
        </w:rPr>
        <w:t>审核、议价等需要稳定结论的环节温度降到 0.2，并要求枚举字段只能取给定值，再经 Pydantic 二次校验。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错误回灌修复：</w:t>
      </w:r>
      <w:r>
        <w:rPr>
          <w:rFonts w:ascii="Times New Roman" w:hAnsi="Times New Roman" w:eastAsia="微软雅黑" w:cs="Times New Roman"/>
          <w:color w:val="2D2D2D"/>
          <w:sz w:val="21"/>
        </w:rPr>
        <w:t>校验失败时把具体错误信息（如“confidence 必须在 0–1”）拼进下一轮请求，让模型自我修复，比简单重试成功率更高。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1.2  意图识别与槽位填充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意图枚举封闭：</w:t>
      </w:r>
      <w:r>
        <w:rPr>
          <w:rFonts w:ascii="Times New Roman" w:hAnsi="Times New Roman" w:eastAsia="微软雅黑" w:cs="Times New Roman"/>
          <w:color w:val="2D2D2D"/>
          <w:sz w:val="21"/>
        </w:rPr>
        <w:t>用户自然语言先归到发布、搜索、出价、支付、申诉、闲聊六类意图之一，无法归类则发起澄清式追问而不是猜测执行。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槽位结构化：</w:t>
      </w:r>
      <w:r>
        <w:rPr>
          <w:rFonts w:ascii="Times New Roman" w:hAnsi="Times New Roman" w:eastAsia="微软雅黑" w:cs="Times New Roman"/>
          <w:color w:val="2D2D2D"/>
          <w:sz w:val="21"/>
        </w:rPr>
        <w:t>发布意图抽取类目、成色、价格、数量；出价意图抽取目标商品与金额；缺槽时向用户追问，槽位齐全才调用下游 Agent。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1.3  规则 + 模型双路文本审核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高召回与高准确分工：</w:t>
      </w:r>
      <w:r>
        <w:rPr>
          <w:rFonts w:ascii="Times New Roman" w:hAnsi="Times New Roman" w:eastAsia="微软雅黑" w:cs="Times New Roman"/>
          <w:color w:val="2D2D2D"/>
          <w:sz w:val="21"/>
        </w:rPr>
        <w:t>违禁词规则负责“宁可错杀”的高召回安全底线，模型语义判定负责理解隐晦表达的高准确判断，两路结论按置信度合并。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结论必须可解释：</w:t>
      </w:r>
      <w:r>
        <w:rPr>
          <w:rFonts w:ascii="Times New Roman" w:hAnsi="Times New Roman" w:eastAsia="微软雅黑" w:cs="Times New Roman"/>
          <w:color w:val="2D2D2D"/>
          <w:sz w:val="21"/>
        </w:rPr>
        <w:t>审核输出不是简单的通过/驳回，而是 decision + confidence + reasons[]，每条理由对应用户能看懂的说明，可在申诉界面直接展示。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1.4  基于历史成交价的分位数定价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区间而非定值：</w:t>
      </w:r>
      <w:r>
        <w:rPr>
          <w:rFonts w:ascii="Times New Roman" w:hAnsi="Times New Roman" w:eastAsia="微软雅黑" w:cs="Times New Roman"/>
          <w:color w:val="2D2D2D"/>
          <w:sz w:val="21"/>
        </w:rPr>
        <w:t>用同类目历史成交价的 P25–P75 分位数作为建议区间，再乘以成色系数修正，卖家可改价，Agent 不替用户拍板。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冷启动兜底：</w:t>
      </w:r>
      <w:r>
        <w:rPr>
          <w:rFonts w:ascii="Times New Roman" w:hAnsi="Times New Roman" w:eastAsia="微软雅黑" w:cs="Times New Roman"/>
          <w:color w:val="2D2D2D"/>
          <w:sz w:val="21"/>
        </w:rPr>
        <w:t>历史样本不足 5 条时退化为“卖家自填 + 文字提示”，避免用不可靠的统计数字误导。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1.5  LangGraph 图组合与条件路由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子图复用：</w:t>
      </w:r>
      <w:r>
        <w:rPr>
          <w:rFonts w:ascii="Times New Roman" w:hAnsi="Times New Roman" w:eastAsia="微软雅黑" w:cs="Times New Roman"/>
          <w:color w:val="2D2D2D"/>
          <w:sz w:val="21"/>
        </w:rPr>
        <w:t>发布流程、交易流程各成子图挂入主编排图，冲突处理做成可复用子图，节点之间只通过黑板状态通信。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条件函数即路由表：</w:t>
      </w:r>
      <w:r>
        <w:rPr>
          <w:rFonts w:ascii="Times New Roman" w:hAnsi="Times New Roman" w:eastAsia="微软雅黑" w:cs="Times New Roman"/>
          <w:color w:val="2D2D2D"/>
          <w:sz w:val="21"/>
        </w:rPr>
        <w:t>route_* 函数读取状态返回下一节点名（如审核后按 approve/reject/review 三分支），把复杂 if-else 从业务代码中抽离成显式的图边。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1.6  Agent 基类与能力声明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统一 handle 契约：</w:t>
      </w:r>
      <w:r>
        <w:rPr>
          <w:rFonts w:ascii="Times New Roman" w:hAnsi="Times New Roman" w:eastAsia="微软雅黑" w:cs="Times New Roman"/>
          <w:color w:val="2D2D2D"/>
          <w:sz w:val="21"/>
        </w:rPr>
        <w:t>所有专家 Agent 继承同一基类，入口都是 handle(envelope: AclEnvelope) -&gt; AclEnvelope，协调者不需要知道节点内部细节。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能力自描述：</w:t>
      </w:r>
      <w:r>
        <w:rPr>
          <w:rFonts w:ascii="Times New Roman" w:hAnsi="Times New Roman" w:eastAsia="微软雅黑" w:cs="Times New Roman"/>
          <w:color w:val="2D2D2D"/>
          <w:sz w:val="21"/>
        </w:rPr>
        <w:t>每个节点声明 capabilities（能处理的意图/任务标签），注册表据此做任务匹配，新增节点不改协调者代码。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1.7  决策轨迹可观测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统一 traced 装饰器：</w:t>
      </w:r>
      <w:r>
        <w:rPr>
          <w:rFonts w:ascii="Times New Roman" w:hAnsi="Times New Roman" w:eastAsia="微软雅黑" w:cs="Times New Roman"/>
          <w:color w:val="2D2D2D"/>
          <w:sz w:val="21"/>
        </w:rPr>
        <w:t>在节点入口出口自动记录输入信封、输出信封、耗时与置信度，消息同步落 acl_messages，检查点与业务轨迹通过 thread_id 双向关联。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可解释是默认能力而非补丁：</w:t>
      </w:r>
      <w:r>
        <w:rPr>
          <w:rFonts w:ascii="Times New Roman" w:hAnsi="Times New Roman" w:eastAsia="微软雅黑" w:cs="Times New Roman"/>
          <w:color w:val="2D2D2D"/>
          <w:sz w:val="21"/>
        </w:rPr>
        <w:t>审核理由、出价依据、裁决书都随结论一起产生，不允许出现“只给结论不给依据”的黑盒节点。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1.8  槽位填充与双路置信度融合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意图—槽位两阶段：</w:t>
      </w:r>
      <w:r>
        <w:rPr>
          <w:rFonts w:ascii="Times New Roman" w:hAnsi="Times New Roman" w:eastAsia="微软雅黑" w:cs="Times New Roman"/>
          <w:color w:val="2D2D2D"/>
          <w:sz w:val="21"/>
        </w:rPr>
        <w:t>先做封闭枚举的意图分类，再按意图模板抽取槽位（title/condition/price/category）；槽位不齐时发起澄清追问，系统宁可多问一句也不猜测执行。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置信度是融合的货币：</w:t>
      </w:r>
      <w:r>
        <w:rPr>
          <w:rFonts w:ascii="Times New Roman" w:hAnsi="Times New Roman" w:eastAsia="微软雅黑" w:cs="Times New Roman"/>
          <w:color w:val="2D2D2D"/>
          <w:sz w:val="21"/>
        </w:rPr>
        <w:t>规则与模型两条通道各自输出置信度，融合规则按“安全优先、分歧转人工”设计：安全列恒否决，置信差 |Δ| &lt; 0.15 时不强行裁决而转复核。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统计方法进入定价：</w:t>
      </w:r>
      <w:r>
        <w:rPr>
          <w:rFonts w:ascii="Times New Roman" w:hAnsi="Times New Roman" w:eastAsia="微软雅黑" w:cs="Times New Roman"/>
          <w:color w:val="2D2D2D"/>
          <w:sz w:val="21"/>
        </w:rPr>
        <w:t>学习了用分位数（P25/P75）而非均值给出建议价区间——均值对极端高价敏感，分位数带更能反映“正常成交价范围”，再用成色系数修正。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474"/>
        <w:gridCol w:w="2381"/>
        <w:gridCol w:w="3175"/>
        <w:gridCol w:w="1927"/>
      </w:tblGrid>
      <w:tr>
        <w:trPr>
          <w:tblHeader/>
          <w:cantSplit/>
        </w:trPr>
        <w:tc>
          <w:tcPr>
            <w:tcW w:type="dxa" w:w="147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业务环节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主处理通道</w:t>
            </w:r>
          </w:p>
        </w:tc>
        <w:tc>
          <w:tcPr>
            <w:tcW w:type="dxa" w:w="317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RuleLLM 兜底规则</w:t>
            </w:r>
          </w:p>
        </w:tc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是否可人工覆盖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意图识别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分类 + 槽位抽取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关键词模板匹配 + 澄清追问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用户可纠正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分类与成色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语义判断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类目关键词 + 成色词典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卖家可改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建议定价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历史价分位数（确定性计算）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样本不足时不建议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卖家可改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内容审核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语义判定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违禁词库 + 欺诈特征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veto 不可覆盖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议价让步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策略生成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时间压力让步函数（确定性）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用户可提前确认/终止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纠纷仲裁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证据归纳</w:t>
            </w:r>
          </w:p>
        </w:tc>
        <w:tc>
          <w:tcPr>
            <w:tcW w:type="dxa" w:w="317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规则评分卡裁决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三级人工终裁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各环节 LLM / RuleLLM 分工与人工边界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02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本周完成的项目内容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本周完成 LLM 适配层与 RuleLLM 五类规则、检查点轨迹服务、主编排图，以及用户代理、商品管理、内容审核三个专家 Agent；“自然语言发布 → 智能建档 → 双通道审核 → 在售上架”链路率先端到端跑通，安全否决完成闭环验证。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2.1  LLM 适配层与 RuleLLM 五类规则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client.py 实现“结构化输出 → Schema 校验 → 修复重试 → 规则兜底”的统一入口；rule_llm.py 落地意图识别、分类成色、审核判定、议价让步、仲裁裁决五类确定性规则，无 Key 时系统全量由规则支撑。五类规则的分工如下表。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701"/>
        <w:gridCol w:w="3969"/>
        <w:gridCol w:w="3288"/>
      </w:tblGrid>
      <w:tr>
        <w:trPr>
          <w:tblHeader/>
          <w:cantSplit/>
        </w:trPr>
        <w:tc>
          <w:tcPr>
            <w:tcW w:type="dxa" w:w="170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规则模块</w:t>
            </w:r>
          </w:p>
        </w:tc>
        <w:tc>
          <w:tcPr>
            <w:tcW w:type="dxa" w:w="3969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RuleLLM 确定性逻辑</w:t>
            </w:r>
          </w:p>
        </w:tc>
        <w:tc>
          <w:tcPr>
            <w:tcW w:type="dxa" w:w="328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对应 LLM 增强点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intent_rule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关键词命中 + 默认兜底意图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口语化表达的语义理解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classify_rule</w:t>
            </w:r>
          </w:p>
        </w:tc>
        <w:tc>
          <w:tcPr>
            <w:tcW w:type="dxa" w:w="396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类目词典 + 成色关键词分级</w:t>
            </w:r>
          </w:p>
        </w:tc>
        <w:tc>
          <w:tcPr>
            <w:tcW w:type="dxa" w:w="328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图文联合语义判断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moderate_rule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违禁词/欺诈特征精确匹配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隐晦违规语义识别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bargain_rule</w:t>
            </w:r>
          </w:p>
        </w:tc>
        <w:tc>
          <w:tcPr>
            <w:tcW w:type="dxa" w:w="396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时间压力让步函数 + 纳什参考价</w:t>
            </w:r>
          </w:p>
        </w:tc>
        <w:tc>
          <w:tcPr>
            <w:tcW w:type="dxa" w:w="328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个性化策略与情绪性话术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arbitrate_rule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证据完备性 + 责任规则评分卡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证据归纳与说理生成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RuleLLM 五类确定性规则模块</w:t>
      </w:r>
    </w:p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app/llm/rule_llm.py（审核规则：安全红线不可覆盖）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def moderate(title: str, desc: str, banned: list[str]) -&gt; ModerationResult: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text = f"{title} {desc}"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hits = [w for w in banned if w in text]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hits:                                   # 规则通道命中 → 直接 veto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return ModerationResult(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decision="reject", confidence=1.0, veto=True,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reasons=[f"命中违禁词：{hits[0]}（规则通道，不可被投票覆盖）"])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any(k in text for k in ("全新未拆", "九成新", "八成新")):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return ModerationResult(decision="approve", confidence=0.7,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   reasons=["成色描述明确，规则通过"], veto=False)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ModerationResult(decision="review", confidence=0.5,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reasons=["关键信息不足，转人工复核"], veto=False)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2.2  检查点持久化与决策轨迹服务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SQLite Saver 接入：</w:t>
      </w:r>
      <w:r>
        <w:rPr>
          <w:rFonts w:ascii="Times New Roman" w:hAnsi="Times New Roman" w:eastAsia="微软雅黑" w:cs="Times New Roman"/>
          <w:color w:val="2D2D2D"/>
          <w:sz w:val="21"/>
        </w:rPr>
        <w:t>checkpoint.py 初始化 langgraph-checkpoint-sqlite，独立写入 checkpoints.db，与业务库解耦。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轨迹查询接口：</w:t>
      </w:r>
      <w:r>
        <w:rPr>
          <w:rFonts w:ascii="Times New Roman" w:hAnsi="Times New Roman" w:eastAsia="微软雅黑" w:cs="Times New Roman"/>
          <w:color w:val="2D2D2D"/>
          <w:sz w:val="21"/>
        </w:rPr>
        <w:t>提供按 thread_id 拉取逐步消息、结论、置信度与升级路径的接口，为后续管理员工作台与监控大屏备好数据源。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traced 装饰器落地：</w:t>
      </w:r>
      <w:r>
        <w:rPr>
          <w:rFonts w:ascii="Times New Roman" w:hAnsi="Times New Roman" w:eastAsia="微软雅黑" w:cs="Times New Roman"/>
          <w:color w:val="2D2D2D"/>
          <w:sz w:val="21"/>
        </w:rPr>
        <w:t>三个新节点全部挂载统一埋点，发布一笔测试商品即可在数据库看到完整的“意图 → 建档 → 审核 → 上架”轨迹链。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2.3  LangGraph 主编排图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主编排图把主链路节点、审核三分支、议价双边循环、锁单支付、冲突升级全部表达为节点与条件边；桩节点 happy path 图执行测试通过，状态按预期迁移。主编排图全貌如图 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783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main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8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交易主链路 LangGraph 主编排图（含 veto、驳回重提与冲突升级分支）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2.4  用户代理与商品管理 Agent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用户代理：</w:t>
      </w:r>
      <w:r>
        <w:rPr>
          <w:rFonts w:ascii="Times New Roman" w:hAnsi="Times New Roman" w:eastAsia="微软雅黑" w:cs="Times New Roman"/>
          <w:color w:val="2D2D2D"/>
          <w:sz w:val="21"/>
        </w:rPr>
        <w:t>把“帮我把这本高数资料卖了，八成新，想卖 25”这类口语解析为结构化意图与槽位；超出用户授权价的出价只产生确认请求，不自动发送。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商品管理：</w:t>
      </w:r>
      <w:r>
        <w:rPr>
          <w:rFonts w:ascii="Times New Roman" w:hAnsi="Times New Roman" w:eastAsia="微软雅黑" w:cs="Times New Roman"/>
          <w:color w:val="2D2D2D"/>
          <w:sz w:val="21"/>
        </w:rPr>
        <w:t>自动生成标准商品档案（类目、成色标签、描述结构化），按同类目历史成交价给出 P25–P75 建议区间，建档后进入“待审核”。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app/agents/goods.py（历史价分位数建议区间）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def price_band(history: list[float], condition: str) -&gt; tuple[float, float]: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"""同类目历史成交价 P25–P75，再按成色系数修正。"""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if len(history) &lt; 5:                          # 冷启动：样本不足不建议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return None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q1, q3 = percentile(history, 25), percentile(history, 75)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k = {"全新": 1.05, "九成新": 0.90,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 "八成新": 0.75}.get(condition, 0.7)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return round(q1 * k, 2), round(q3 * k, 2)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2.5  内容审核 Agent 与安全一票否决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审核 Agent 采用规则与模型双路并行：违禁词命中立即 veto 冻结（置信度 1.0），模型输出通过/驳回/人工复核三档结论并附逐条依据；驳回允许卖家补材料重提一次，veto 则任何投票或效用都不可覆盖。审核流程如图 2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066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review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6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内容审核双通道判定与 veto 安全否决流程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app/agents/goods.py（veto 执行：冻结 + 中断转人工）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if result.veto:                          # 安全红线：任何投票 / 效用均不可覆盖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session.patch(Item, item_id, status=ItemStatus.FROZEN)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await bus.emit(AclEnvelope(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conversation_id=conv_id, performative="veto",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sender="moderation", receiver="coordinator",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    payload={"reasons": result.reasons}, confidence=1.0))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raise InterruptNeeded("E-403", "命中安全规则，已冻结并转人工")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BEDEC"/>
            <w:tcBorders>
              <w:top w:val="single" w:sz="4" w:space="0" w:color="B5483D"/>
              <w:left w:val="single" w:sz="30" w:space="0" w:color="B5483D"/>
              <w:bottom w:val="single" w:sz="4" w:space="0" w:color="B5483D"/>
              <w:right w:val="single" w:sz="4" w:space="0" w:color="B5483D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B5483D"/>
                <w:sz w:val="21"/>
              </w:rPr>
              <w:t>▲  安全底线在代码中的三个保障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① 规则优先：违禁词规则通道结论优先级高于任何模型输出；② 状态终态：veto 直接置“冻结”终态，业务接口无法改写；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③ 中断留痕：同步发 interrupt 并把证据包送人工，审计日志可回溯到命中的具体词条。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DF2F8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21"/>
              </w:rPr>
              <w:t>✦  本周产出物清单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① LLM 适配层 + RuleLLM 五类规则（无 Key 全量跑通）；② SQLite 检查点与轨迹查询接口；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③ LangGraph 主编排图与发布/交易子图（happy path 测试通过）；④ 用户代理、商品、审核三个专家节点；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⑤ 发布链路端到端联调：自然语言发布 → 建档建议价 → 双通道审核 → 上架，全程轨迹可查。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2.6  用户代理 NLU 流水线落地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把“意图分类 → 槽位抽取 → 槽位校验 → 澄清追问 → 授权区间 → 结构化指令”六步串成流水线，以“帮我把八成新的高数资料卖 25 块”为样本可直接抽取全部四个槽位并生成 SellItemCommand；超出授权价的动作只产生确认请求，守住“不替用户拍板”的边界，如图 3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88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nlu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8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用户代理 NLU 流水线与槽位填充结果（含 RuleLLM 兜底与越界保护）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2.7  分位数定价实验与置信度融合矩阵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用教材类种子历史成交价（n=78）验证定价算法：P25=24 元、中位数 27 元、P75=34 元，八成新成色系数 0.75，最终给卖家的建议区间为 18–26 元；分布与建议带如图 4 所示，样本不足 5 条的类目直接不建议，避免伪精确。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4796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pric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7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教材类历史成交价分布与 P25–P75 分位数定价带（种子数据 n=78）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审核双路的融合逻辑固化为 3×3 决策矩阵：规则结论为行、模型结论为列，安全行（命中违禁）三格恒为 veto，对角线附近的分歧一律转人工复核——矩阵让“谁说了算”不再依赖临场判断，如图 5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3150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15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规则 × 模型双路置信度融合决策矩阵（安全行不可覆盖）</w:t>
      </w:r>
    </w:p>
    <w:tbl>
      <w:tblPr>
        <w:tblW w:type="dxa" w:w="8686"/>
        <w:jc w:val="center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</w:tblPr>
      <w:tblGrid>
        <w:gridCol w:w="2171"/>
        <w:gridCol w:w="2171"/>
        <w:gridCol w:w="2171"/>
        <w:gridCol w:w="2171"/>
      </w:tblGrid>
      <w:tr>
        <w:trPr>
          <w:cantSplit/>
        </w:trPr>
        <w:tc>
          <w:tcPr>
            <w:tcW w:type="dxa" w:w="2171"/>
            <w:shd w:val="clear" w:color="auto" w:fill="F2F5F9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32"/>
              </w:rPr>
              <w:t>6 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封闭意图枚举</w:t>
            </w:r>
          </w:p>
        </w:tc>
        <w:tc>
          <w:tcPr>
            <w:tcW w:type="dxa" w:w="2171"/>
            <w:shd w:val="clear" w:color="auto" w:fill="EDF2F8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32"/>
              </w:rPr>
              <w:t>4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必填槽位</w:t>
            </w:r>
          </w:p>
        </w:tc>
        <w:tc>
          <w:tcPr>
            <w:tcW w:type="dxa" w:w="2171"/>
            <w:shd w:val="clear" w:color="auto" w:fill="FAF7EE"/>
            <w:tcBorders>
              <w:top w:val="single" w:sz="4" w:space="0" w:color="9A7A24"/>
              <w:left w:val="single" w:sz="4" w:space="0" w:color="9A7A24"/>
              <w:bottom w:val="single" w:sz="4" w:space="0" w:color="9A7A24"/>
              <w:right w:val="single" w:sz="4" w:space="0" w:color="9A7A24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32"/>
              </w:rPr>
              <w:t>18–26 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八成新教材建议带</w:t>
            </w:r>
          </w:p>
        </w:tc>
        <w:tc>
          <w:tcPr>
            <w:tcW w:type="dxa" w:w="2171"/>
            <w:shd w:val="clear" w:color="auto" w:fill="FBEDEC"/>
            <w:tcBorders>
              <w:top w:val="single" w:sz="4" w:space="0" w:color="B5483D"/>
              <w:left w:val="single" w:sz="4" w:space="0" w:color="B5483D"/>
              <w:bottom w:val="single" w:sz="4" w:space="0" w:color="B5483D"/>
              <w:right w:val="single" w:sz="4" w:space="0" w:color="B5483D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B5483D"/>
                <w:sz w:val="32"/>
              </w:rPr>
              <w:t>0.15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置信差转复核阈值</w:t>
            </w:r>
          </w:p>
        </w:tc>
      </w:tr>
    </w:tbl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03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存在的问题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链路跑通后，质量与体验层面的问题开始浮现：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1　规则与模型结论冲突的合并策略：</w:t>
      </w:r>
      <w:r>
        <w:rPr>
          <w:rFonts w:ascii="Times New Roman" w:hAnsi="Times New Roman" w:eastAsia="微软雅黑" w:cs="Times New Roman"/>
          <w:color w:val="2D2D2D"/>
          <w:sz w:val="21"/>
        </w:rPr>
        <w:t>目前模型驳回但规则通过时取保守结论，误杀率可能偏高，需要引入置信度差值阈值而不是简单取严。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2　置信度缺少校准：</w:t>
      </w:r>
      <w:r>
        <w:rPr>
          <w:rFonts w:ascii="Times New Roman" w:hAnsi="Times New Roman" w:eastAsia="微软雅黑" w:cs="Times New Roman"/>
          <w:color w:val="2D2D2D"/>
          <w:sz w:val="21"/>
        </w:rPr>
        <w:t>RuleLLM 的 0.5/0.7/1.0 是经验值，模型自报置信度也未必准确，后续要用剧本批量结果做校准。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3　建议价样本太少：</w:t>
      </w:r>
      <w:r>
        <w:rPr>
          <w:rFonts w:ascii="Times New Roman" w:hAnsi="Times New Roman" w:eastAsia="微软雅黑" w:cs="Times New Roman"/>
          <w:color w:val="2D2D2D"/>
          <w:sz w:val="21"/>
        </w:rPr>
        <w:t>种子历史成交价仅覆盖教材、自行车等几个类目，部分类目样本不足只能不建议，需要扩充种子数据。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4　LLM 延迟影响体验：</w:t>
      </w:r>
      <w:r>
        <w:rPr>
          <w:rFonts w:ascii="Times New Roman" w:hAnsi="Times New Roman" w:eastAsia="微软雅黑" w:cs="Times New Roman"/>
          <w:color w:val="2D2D2D"/>
          <w:sz w:val="21"/>
        </w:rPr>
        <w:t>实测含模型的单轮平均 1.8 秒、高峰偶发超 3 秒，议价室需要“思考中”状态与超时自动降级联动。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5　检查点库增长：</w:t>
      </w:r>
      <w:r>
        <w:rPr>
          <w:rFonts w:ascii="Times New Roman" w:hAnsi="Times New Roman" w:eastAsia="微软雅黑" w:cs="Times New Roman"/>
          <w:color w:val="2D2D2D"/>
          <w:sz w:val="21"/>
        </w:rPr>
        <w:t>长线程全量快照使 checkpoints.db 增长偏快，需要设置快照保留窗口。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6　意图澄清话术偏生硬：</w:t>
      </w:r>
      <w:r>
        <w:rPr>
          <w:rFonts w:ascii="Times New Roman" w:hAnsi="Times New Roman" w:eastAsia="微软雅黑" w:cs="Times New Roman"/>
          <w:color w:val="2D2D2D"/>
          <w:sz w:val="21"/>
        </w:rPr>
        <w:t>缺槽追问目前是模板句子，计划在提示词中加入更自然的多轮澄清示例。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04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下周计划（2026.10.26 — 2026.11.1）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下周攻克交易主战场：搜索、议价、订单、信用、仲裁五个节点与冲突检测引擎，使全部 8 个专家 Agent 上线，并完成并发抢单的正确性验证：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680"/>
        <w:gridCol w:w="1927"/>
        <w:gridCol w:w="5216"/>
        <w:gridCol w:w="1134"/>
      </w:tblGrid>
      <w:tr>
        <w:trPr>
          <w:tblHeader/>
          <w:cantSplit/>
        </w:trPr>
        <w:tc>
          <w:tcPr>
            <w:tcW w:type="dxa" w:w="68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521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关联问题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1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搜索推荐 Agent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在售过滤、综合评分排序、匹配理由、目标相容性重排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2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 Agent + WebSocket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5 轮/120 秒双边会话、单调让步校验、纳什价、超时破裂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FR-6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3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交易履约 Agent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预占锁+版本号、三优先裁决、超时释放与支付失败回滚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FR-7/AC-3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4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并发抢单测试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两路并发下单恰一成功，重复 100 次无超卖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AC-3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5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信用评价 Agent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一单一次互评、信用分动态更新、风险标签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FR-8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6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纠纷仲裁 Agent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证据包组装、结构化裁决书、超阈值升级人工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FR-9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7</w:t>
            </w:r>
          </w:p>
        </w:tc>
        <w:tc>
          <w:tcPr>
            <w:tcW w:type="dxa" w:w="192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冲突检测引擎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四类检测器 + 三级路由 + 效用/投票；C1–C8 剧本雏形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FR-10/AC-5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8</w:t>
            </w:r>
          </w:p>
        </w:tc>
        <w:tc>
          <w:tcPr>
            <w:tcW w:type="dxa" w:w="192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全链路自测</w:t>
            </w:r>
          </w:p>
        </w:tc>
        <w:tc>
          <w:tcPr>
            <w:tcW w:type="dxa" w:w="521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8 个专家节点全部注册，主链路图替换桩节点后回归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集成验证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下周工作计划表</w:t>
      </w:r>
    </w:p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◆  本周小结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系统有了“大脑”与“前三个器官”：LLM/规则双通道让智能与稳定兼得，主编排图让流程全部显式可控，发布审核链路端到端贯通；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尤其重要的是安全否决在代码层面完成闭环——规则命中即冻结终态、不可覆盖、自动转人工。下周补齐议价、订单与冲突引擎，打通最核心的交易博弈环节。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8DEE6"/>
      </w:pBdr>
    </w:pPr>
    <w:r/>
    <w:r>
      <w:rPr>
        <w:rFonts w:ascii="Times New Roman" w:hAnsi="Times New Roman" w:eastAsia="微软雅黑" w:cs="Times New Roman"/>
        <w:color w:val="6E7785"/>
        <w:sz w:val="18"/>
      </w:rPr>
      <w:t xml:space="preserve">—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PAGE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/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NUMPAGES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A84C"/>
      </w:pBdr>
    </w:pPr>
    <w:r/>
    <w:r>
      <w:rPr>
        <w:rFonts w:ascii="Times New Roman" w:hAnsi="Times New Roman" w:eastAsia="微软雅黑" w:cs="Times New Roman"/>
        <w:color w:val="6E7785"/>
        <w:sz w:val="16"/>
      </w:rPr>
      <w:t>校园二手交易平台的 Multi-Agent 设计与实现　|　项目周报 · 第 6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微软雅黑" w:cs="Times New Roman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