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8958"/>
        <w:jc w:val="center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  <w:tblLayout w:type="fixed"/>
        <w:tblCellMar>
          <w:top w:w="520" w:type="dxa"/>
          <w:left w:w="300" w:type="dxa"/>
          <w:bottom w:w="420" w:type="dxa"/>
          <w:right w:w="300" w:type="dxa"/>
        </w:tblCellMar>
      </w:tblPr>
      <w:tblGrid>
        <w:gridCol w:w="8958"/>
      </w:tblGrid>
      <w:tr>
        <w:trPr>
          <w:trHeight w:val="4876" w:hRule="atLeast"/>
        </w:trPr>
        <w:tc>
          <w:tcPr>
            <w:tcW w:type="dxa" w:w="8958"/>
            <w:shd w:val="clear" w:color="auto" w:fill="1F3A5F"/>
            <w:vAlign w:val="center"/>
          </w:tcPr>
          <w:p>
            <w:r/>
          </w:p>
          <w:p>
            <w:pPr>
              <w:spacing w:after="160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C9A84C"/>
                <w:sz w:val="21"/>
              </w:rPr>
              <w:t>MULTI-AGENT SYSTEM  ·  WEEKLY REPORT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50"/>
              </w:rPr>
              <w:t>校园二手交易平台的</w:t>
            </w:r>
          </w:p>
          <w:p>
            <w:pPr>
              <w:spacing w:after="200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50"/>
              </w:rPr>
              <w:t>Multi-Agent 设计与实现</w:t>
            </w:r>
          </w:p>
          <w:p>
            <w:pPr>
              <w:spacing w:after="160"/>
              <w:jc w:val="center"/>
            </w:pPr>
            <w:r>
              <w:rPr>
                <w:rFonts w:ascii="Times New Roman" w:hAnsi="Times New Roman" w:eastAsia="微软雅黑" w:cs="Times New Roman"/>
                <w:b w:val="0"/>
                <w:color w:val="C9A84C"/>
                <w:sz w:val="20"/>
              </w:rPr>
              <w:t>◆　◆　◆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E4D39C"/>
                <w:sz w:val="25"/>
              </w:rPr>
              <w:t>REST / WebSocket 贯通  ×  买卖端页面与端到端联调  专题周报</w:t>
            </w:r>
          </w:p>
        </w:tc>
      </w:tr>
    </w:tbl>
    <w:p>
      <w:pPr>
        <w:spacing w:before="440" w:after="80"/>
        <w:jc w:val="center"/>
      </w:pPr>
      <w:r>
        <w:rPr>
          <w:rFonts w:ascii="Times New Roman" w:hAnsi="Times New Roman" w:eastAsia="微软雅黑" w:cs="Times New Roman"/>
          <w:b/>
          <w:color w:val="C9A84C"/>
          <w:sz w:val="30"/>
        </w:rPr>
        <w:t>项 目 研 究 周 报</w:t>
      </w:r>
    </w:p>
    <w:p>
      <w:pPr>
        <w:spacing w:after="320"/>
        <w:jc w:val="center"/>
      </w:pPr>
      <w:r>
        <w:rPr>
          <w:rFonts w:ascii="Times New Roman" w:hAnsi="Times New Roman" w:eastAsia="微软雅黑" w:cs="Times New Roman"/>
          <w:color w:val="6E7785"/>
          <w:sz w:val="22"/>
        </w:rPr>
        <w:t>第 8 周 · API 贯通与买卖端联调周</w:t>
      </w:r>
    </w:p>
    <w:tbl>
      <w:tblPr>
        <w:tblW w:type="dxa" w:w="7484"/>
        <w:jc w:val="center"/>
        <w:tblLook w:firstColumn="1" w:firstRow="1" w:lastColumn="0" w:lastRow="0" w:noHBand="0" w:noVBand="1" w:val="04A0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041"/>
        <w:gridCol w:w="5443"/>
      </w:tblGrid>
      <w:tr>
        <w:trPr>
          <w:cantSplit/>
        </w:trPr>
        <w:tc>
          <w:tcPr>
            <w:tcW w:type="dxa" w:w="2041"/>
            <w:shd w:val="clear" w:color="auto" w:fill="1F3A5F"/>
            <w:tcBorders>
              <w:top w:val="single" w:sz="2" w:space="0" w:color="C9A84C"/>
              <w:left w:val="single" w:sz="18" w:space="0" w:color="C9A84C"/>
              <w:bottom w:val="single" w:sz="2" w:space="0" w:color="C9A84C"/>
              <w:right w:val="single" w:sz="2" w:space="0" w:color="C9A84C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22"/>
              </w:rPr>
              <w:t>报告周期</w:t>
            </w:r>
          </w:p>
        </w:tc>
        <w:tc>
          <w:tcPr>
            <w:tcW w:type="dxa" w:w="5443"/>
            <w:shd w:val="clear" w:color="auto" w:fill="FAF7EE"/>
            <w:tcBorders>
              <w:top w:val="single" w:sz="2" w:space="0" w:color="BFCADB"/>
              <w:left w:val="single" w:sz="2" w:space="0" w:color="BFCADB"/>
              <w:bottom w:val="single" w:sz="2" w:space="0" w:color="BFCADB"/>
              <w:right w:val="single" w:sz="2" w:space="0" w:color="BFCADB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22"/>
              </w:rPr>
              <w:t>2026 年 11 月 2 日 — 11 月 8 日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2E5C8A"/>
            <w:tcBorders>
              <w:top w:val="single" w:sz="2" w:space="0" w:color="C9A84C"/>
              <w:left w:val="single" w:sz="18" w:space="0" w:color="C9A84C"/>
              <w:bottom w:val="single" w:sz="2" w:space="0" w:color="C9A84C"/>
              <w:right w:val="single" w:sz="2" w:space="0" w:color="C9A84C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22"/>
              </w:rPr>
              <w:t>学　　号</w:t>
            </w:r>
          </w:p>
        </w:tc>
        <w:tc>
          <w:tcPr>
            <w:tcW w:type="dxa" w:w="5443"/>
            <w:shd w:val="clear" w:color="auto" w:fill="FFFFFF"/>
            <w:tcBorders>
              <w:top w:val="single" w:sz="2" w:space="0" w:color="BFCADB"/>
              <w:left w:val="single" w:sz="2" w:space="0" w:color="BFCADB"/>
              <w:bottom w:val="single" w:sz="2" w:space="0" w:color="BFCADB"/>
              <w:right w:val="single" w:sz="2" w:space="0" w:color="BFCADB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22"/>
              </w:rPr>
              <w:t>2400320321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1F3A5F"/>
            <w:tcBorders>
              <w:top w:val="single" w:sz="2" w:space="0" w:color="C9A84C"/>
              <w:left w:val="single" w:sz="18" w:space="0" w:color="C9A84C"/>
              <w:bottom w:val="single" w:sz="2" w:space="0" w:color="C9A84C"/>
              <w:right w:val="single" w:sz="2" w:space="0" w:color="C9A84C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22"/>
              </w:rPr>
              <w:t>姓　　名</w:t>
            </w:r>
          </w:p>
        </w:tc>
        <w:tc>
          <w:tcPr>
            <w:tcW w:type="dxa" w:w="5443"/>
            <w:shd w:val="clear" w:color="auto" w:fill="FAF7EE"/>
            <w:tcBorders>
              <w:top w:val="single" w:sz="2" w:space="0" w:color="BFCADB"/>
              <w:left w:val="single" w:sz="2" w:space="0" w:color="BFCADB"/>
              <w:bottom w:val="single" w:sz="2" w:space="0" w:color="BFCADB"/>
              <w:right w:val="single" w:sz="2" w:space="0" w:color="BFCADB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22"/>
              </w:rPr>
              <w:t>梁奕琦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2E5C8A"/>
            <w:tcBorders>
              <w:top w:val="single" w:sz="2" w:space="0" w:color="C9A84C"/>
              <w:left w:val="single" w:sz="18" w:space="0" w:color="C9A84C"/>
              <w:bottom w:val="single" w:sz="2" w:space="0" w:color="C9A84C"/>
              <w:right w:val="single" w:sz="2" w:space="0" w:color="C9A84C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22"/>
              </w:rPr>
              <w:t>指导教师</w:t>
            </w:r>
          </w:p>
        </w:tc>
        <w:tc>
          <w:tcPr>
            <w:tcW w:type="dxa" w:w="5443"/>
            <w:shd w:val="clear" w:color="auto" w:fill="FFFFFF"/>
            <w:tcBorders>
              <w:top w:val="single" w:sz="2" w:space="0" w:color="BFCADB"/>
              <w:left w:val="single" w:sz="2" w:space="0" w:color="BFCADB"/>
              <w:bottom w:val="single" w:sz="2" w:space="0" w:color="BFCADB"/>
              <w:right w:val="single" w:sz="2" w:space="0" w:color="BFCADB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22"/>
              </w:rPr>
              <w:t>曾志新　老师</w:t>
            </w:r>
          </w:p>
        </w:tc>
      </w:tr>
    </w:tbl>
    <w:p>
      <w:pPr>
        <w:spacing w:before="400" w:after="40"/>
        <w:jc w:val="center"/>
      </w:pPr>
      <w:r>
        <w:rPr>
          <w:rFonts w:ascii="Times New Roman" w:hAnsi="Times New Roman" w:eastAsia="微软雅黑" w:cs="Times New Roman"/>
          <w:b/>
          <w:color w:val="1F3A5F"/>
          <w:sz w:val="34"/>
        </w:rPr>
        <w:t>2026.11.02  —  11.08</w:t>
      </w:r>
    </w:p>
    <w:p>
      <w:pPr>
        <w:jc w:val="center"/>
      </w:pPr>
      <w:r>
        <w:rPr>
          <w:rFonts w:ascii="Times New Roman" w:hAnsi="Times New Roman" w:eastAsia="微软雅黑" w:cs="Times New Roman"/>
          <w:color w:val="6E7785"/>
          <w:sz w:val="20"/>
        </w:rPr>
        <w:t>提交日期：2026 年 11 月 10 日</w:t>
      </w:r>
    </w:p>
    <w:p>
      <w:r>
        <w:br w:type="page"/>
      </w:r>
    </w:p>
    <w:p>
      <w:pPr>
        <w:spacing w:before="120" w:after="40"/>
        <w:jc w:val="center"/>
      </w:pPr>
      <w:r>
        <w:rPr>
          <w:rFonts w:ascii="Times New Roman" w:hAnsi="Times New Roman" w:eastAsia="微软雅黑" w:cs="Times New Roman"/>
          <w:b/>
          <w:color w:val="C9A84C"/>
          <w:sz w:val="22"/>
        </w:rPr>
        <w:t>CONTENTS</w:t>
      </w:r>
    </w:p>
    <w:p>
      <w:pPr>
        <w:spacing w:after="200"/>
        <w:jc w:val="center"/>
      </w:pPr>
      <w:r>
        <w:rPr>
          <w:rFonts w:ascii="Times New Roman" w:hAnsi="Times New Roman" w:eastAsia="微软雅黑" w:cs="Times New Roman"/>
          <w:b/>
          <w:color w:val="1F3A5F"/>
          <w:sz w:val="44"/>
        </w:rPr>
        <w:t>目　录</w:t>
      </w:r>
    </w:p>
    <w:p>
      <w:pPr>
        <w:spacing w:after="280"/>
        <w:jc w:val="center"/>
      </w:pPr>
      <w:r>
        <w:rPr>
          <w:rFonts w:ascii="Times New Roman" w:hAnsi="Times New Roman" w:eastAsia="微软雅黑" w:cs="Times New Roman"/>
          <w:color w:val="C9A84C"/>
          <w:sz w:val="20"/>
        </w:rPr>
        <w:t>— · — · — · — · —</w:t>
      </w:r>
    </w:p>
    <w:p>
      <w:r>
        <w:fldChar w:fldCharType="begin"/>
      </w:r>
      <w:r>
        <w:instrText xml:space="preserve"> TOC \o "1-2" \h \z \u </w:instrText>
      </w:r>
      <w:r>
        <w:rPr>
          <w:rFonts w:ascii="Times New Roman" w:hAnsi="Times New Roman" w:eastAsia="微软雅黑" w:cs="Times New Roman"/>
          <w:color w:val="6E7785"/>
          <w:sz w:val="20"/>
        </w:rPr>
        <w:t>打开文档后如目录未显示页码，请在目录上右键选择“更新域”。</w:t>
      </w:r>
      <w:r>
        <w:fldChar w:fldCharType="end"/>
      </w:r>
    </w:p>
    <w:p>
      <w:r>
        <w:br w:type="page"/>
      </w:r>
    </w:p>
    <w:p>
      <w:pPr>
        <w:keepNext/>
        <w:spacing w:before="300" w:after="180" w:line="360" w:lineRule="auto"/>
        <w:shd w:val="clear" w:color="auto" w:fill="1F3A5F"/>
        <w:pBdr>
          <w:bottom w:val="single" w:sz="18" w:space="0" w:color="C9A84C"/>
        </w:pBdr>
        <w:outlineLvl w:val="0"/>
      </w:pPr>
      <w:r>
        <w:rPr>
          <w:rFonts w:ascii="Times New Roman" w:hAnsi="Times New Roman" w:eastAsia="微软雅黑" w:cs="Times New Roman"/>
          <w:sz w:val="26"/>
        </w:rPr>
        <w:t xml:space="preserve">　</w:t>
      </w:r>
      <w:r>
        <w:rPr>
          <w:rFonts w:ascii="Times New Roman" w:hAnsi="Times New Roman" w:eastAsia="微软雅黑" w:cs="Times New Roman"/>
          <w:b/>
          <w:color w:val="C9A84C"/>
          <w:sz w:val="27"/>
        </w:rPr>
        <w:t>01</w:t>
      </w:r>
      <w:r>
        <w:rPr>
          <w:rFonts w:ascii="Times New Roman" w:hAnsi="Times New Roman" w:eastAsia="微软雅黑" w:cs="Times New Roman"/>
          <w:sz w:val="26"/>
        </w:rPr>
        <w:t xml:space="preserve">　</w:t>
      </w:r>
      <w:r>
        <w:rPr>
          <w:rFonts w:ascii="Times New Roman" w:hAnsi="Times New Roman" w:eastAsia="微软雅黑" w:cs="Times New Roman"/>
          <w:b/>
          <w:color w:val="FFFFFF"/>
          <w:sz w:val="27"/>
        </w:rPr>
        <w:t>本周学习笔记</w:t>
      </w:r>
      <w:r>
        <w:rPr>
          <w:rFonts w:ascii="Times New Roman" w:hAnsi="Times New Roman" w:eastAsia="微软雅黑" w:cs="Times New Roman"/>
          <w:sz w:val="26"/>
        </w:rPr>
        <w:t xml:space="preserve">　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本周工作重心从后端转到浏览器，系统学习了 Vue3 组合式 API、Pinia 状态管理、axios 拦截器、路由守卫与 Element Plus 工程化，并实践了 WebSocket 客户端封装与前后端契约联调方法，首次让完整交易旅程在界面上走通。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1.1  Vue3 组合式 API 与 TypeScript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setup 语法：</w:t>
      </w:r>
      <w:r>
        <w:rPr>
          <w:rFonts w:ascii="Times New Roman" w:hAnsi="Times New Roman" w:eastAsia="微软雅黑" w:cs="Times New Roman"/>
          <w:color w:val="2D2D2D"/>
          <w:sz w:val="21"/>
        </w:rPr>
        <w:t>页面逻辑集中在 &lt;script setup lang="ts"&gt; 中组织，响应式状态用 ref/reactive 声明， computed 派生排序与倒计时，逻辑比选项式更聚拢。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类型贯通：</w:t>
      </w:r>
      <w:r>
        <w:rPr>
          <w:rFonts w:ascii="Times New Roman" w:hAnsi="Times New Roman" w:eastAsia="微软雅黑" w:cs="Times New Roman"/>
          <w:color w:val="2D2D2D"/>
          <w:sz w:val="21"/>
        </w:rPr>
        <w:t>后端 Pydantic 契约对应前端 interface，市场列表、议价消息、订单状态全部有类型提示，联调时字段写错当场报错。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1.2  Pinia 与 axios 拦截器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全局状态最小化：</w:t>
      </w:r>
      <w:r>
        <w:rPr>
          <w:rFonts w:ascii="Times New Roman" w:hAnsi="Times New Roman" w:eastAsia="微软雅黑" w:cs="Times New Roman"/>
          <w:color w:val="2D2D2D"/>
          <w:sz w:val="21"/>
        </w:rPr>
        <w:t>Pinia 只存登录态（token、用户信息、角色）与议价会话等跨页面状态，业务数据留在页面，避免全局 Store 膨胀。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拦截器收口：</w:t>
      </w:r>
      <w:r>
        <w:rPr>
          <w:rFonts w:ascii="Times New Roman" w:hAnsi="Times New Roman" w:eastAsia="微软雅黑" w:cs="Times New Roman"/>
          <w:color w:val="2D2D2D"/>
          <w:sz w:val="21"/>
        </w:rPr>
        <w:t>请求拦截器统一注入 JWT，响应拦截器统一解包 {code,msg,data}、弹出错误提示，401 自动跳登录，页面里不再写重复的鉴权代码。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1.3  Vue Router 路由守卫与角色分流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登录态守卫：</w:t>
      </w:r>
      <w:r>
        <w:rPr>
          <w:rFonts w:ascii="Times New Roman" w:hAnsi="Times New Roman" w:eastAsia="微软雅黑" w:cs="Times New Roman"/>
          <w:color w:val="2D2D2D"/>
          <w:sz w:val="21"/>
        </w:rPr>
        <w:t>未登录访问业务页一律重定向到 /login；登录后按角色默认落地（买家市场、卖家发布管理、管理员工作台）。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越权防护前后呼应：</w:t>
      </w:r>
      <w:r>
        <w:rPr>
          <w:rFonts w:ascii="Times New Roman" w:hAnsi="Times New Roman" w:eastAsia="微软雅黑" w:cs="Times New Roman"/>
          <w:color w:val="2D2D2D"/>
          <w:sz w:val="21"/>
        </w:rPr>
        <w:t>前端隐藏无权菜单只是体验层，后端角色守卫仍是最终防线，两边使用同一套角色枚举。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1.4  Element Plus 与设计令牌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设计令牌统一品牌：</w:t>
      </w:r>
      <w:r>
        <w:rPr>
          <w:rFonts w:ascii="Times New Roman" w:hAnsi="Times New Roman" w:eastAsia="微软雅黑" w:cs="Times New Roman"/>
          <w:color w:val="2D2D2D"/>
          <w:sz w:val="21"/>
        </w:rPr>
        <w:t>在 tokens.scss 中把藏蓝 1F3A5F、商务蓝 2E5C8A、金 C9A84C 映射为 CSS 变量，Element Plus 主题色覆盖为同一套蓝金体系。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表单校验复用契约：</w:t>
      </w:r>
      <w:r>
        <w:rPr>
          <w:rFonts w:ascii="Times New Roman" w:hAnsi="Times New Roman" w:eastAsia="微软雅黑" w:cs="Times New Roman"/>
          <w:color w:val="2D2D2D"/>
          <w:sz w:val="21"/>
        </w:rPr>
        <w:t>发布表单的必填项、价格区间、字数限制与后端 Schema 对齐，前后端双重校验给出一致的错误提示。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1.5  WebSocket 客户端与议价室 UI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可重连客户端：</w:t>
      </w:r>
      <w:r>
        <w:rPr>
          <w:rFonts w:ascii="Times New Roman" w:hAnsi="Times New Roman" w:eastAsia="微软雅黑" w:cs="Times New Roman"/>
          <w:color w:val="2D2D2D"/>
          <w:sz w:val="21"/>
        </w:rPr>
        <w:t>封装带自动重连的 WS 客户端，进入议价室时携带 JWT 加入房间，离线消息在重连后通过历史接口补齐。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实时交互细节：</w:t>
      </w:r>
      <w:r>
        <w:rPr>
          <w:rFonts w:ascii="Times New Roman" w:hAnsi="Times New Roman" w:eastAsia="微软雅黑" w:cs="Times New Roman"/>
          <w:color w:val="2D2D2D"/>
          <w:sz w:val="21"/>
        </w:rPr>
        <w:t>出价消息左右气泡分列、违例出价即时红条提示、顶部 120 秒倒计时、纳什参考价出现时金色高亮引导。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1.6  前后端联调方法论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契约先行：</w:t>
      </w:r>
      <w:r>
        <w:rPr>
          <w:rFonts w:ascii="Times New Roman" w:hAnsi="Times New Roman" w:eastAsia="微软雅黑" w:cs="Times New Roman"/>
          <w:color w:val="2D2D2D"/>
          <w:sz w:val="21"/>
        </w:rPr>
        <w:t>先在前端用接口类型与 Mock 数据把页面做完，再切换 Vite 代理指向真实后端，联调问题被压缩到字段与状态映射层。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按旅程串测：</w:t>
      </w:r>
      <w:r>
        <w:rPr>
          <w:rFonts w:ascii="Times New Roman" w:hAnsi="Times New Roman" w:eastAsia="微软雅黑" w:cs="Times New Roman"/>
          <w:color w:val="2D2D2D"/>
          <w:sz w:val="21"/>
        </w:rPr>
        <w:t>按“发布 → 审核 → 搜索 → 议价 → 支付 → 交付 → 评价”的真实顺序逐页联调，每通一环就回归上一环，防止改新坏旧。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1.7  ECharts 6 监控大屏预研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图表选型：</w:t>
      </w:r>
      <w:r>
        <w:rPr>
          <w:rFonts w:ascii="Times New Roman" w:hAnsi="Times New Roman" w:eastAsia="微软雅黑" w:cs="Times New Roman"/>
          <w:color w:val="2D2D2D"/>
          <w:sz w:val="21"/>
        </w:rPr>
        <w:t>预研折线（议价轮次与时长）、环形（冲突类型占比）、数字卡片（在线商品/成交/待办）三类图表，为 P1 监控大屏储备组件。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数据来自轨迹：</w:t>
      </w:r>
      <w:r>
        <w:rPr>
          <w:rFonts w:ascii="Times New Roman" w:hAnsi="Times New Roman" w:eastAsia="微软雅黑" w:cs="Times New Roman"/>
          <w:color w:val="2D2D2D"/>
          <w:sz w:val="21"/>
        </w:rPr>
        <w:t>大屏数据直接读取冲突事件与审计轨迹接口，不额外造统计口径。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1.8  前端路由建模与联调数据度量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路由即权限矩阵：</w:t>
      </w:r>
      <w:r>
        <w:rPr>
          <w:rFonts w:ascii="Times New Roman" w:hAnsi="Times New Roman" w:eastAsia="微软雅黑" w:cs="Times New Roman"/>
          <w:color w:val="2D2D2D"/>
          <w:sz w:val="21"/>
        </w:rPr>
        <w:t>把每个页面对应到允许访问的角色集合，画成“登录 → 主布局 → 三角色页面组”的路由地图；菜单隐藏与路由守卫共用这张矩阵，后端角色守卫做最终兜底。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用燃尽图管理缺陷：</w:t>
      </w:r>
      <w:r>
        <w:rPr>
          <w:rFonts w:ascii="Times New Roman" w:hAnsi="Times New Roman" w:eastAsia="微软雅黑" w:cs="Times New Roman"/>
          <w:color w:val="2D2D2D"/>
          <w:sz w:val="21"/>
        </w:rPr>
        <w:t>联调阶段按日记录累计发现/累计修复两条曲线，未修复缺口（两线之间面积）逐日收窄，D6 清零比“感觉改得差不多了”更有说服力。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漏斗定位流失环节：</w:t>
      </w:r>
      <w:r>
        <w:rPr>
          <w:rFonts w:ascii="Times New Roman" w:hAnsi="Times New Roman" w:eastAsia="微软雅黑" w:cs="Times New Roman"/>
          <w:color w:val="2D2D2D"/>
          <w:sz w:val="21"/>
        </w:rPr>
        <w:t>把交易旅程拆成曝光→详情→议价→成交→支付→好评六层漏斗，逐层算转化率，才能看出议价机制到底提升了哪一环，而不是只看总成交数。</w:t>
      </w:r>
    </w:p>
    <w:tbl>
      <w:tblPr>
        <w:tblW w:type="dxa" w:w="8958"/>
        <w:jc w:val="center"/>
        <w:tblLook w:firstColumn="1" w:firstRow="1" w:lastColumn="0" w:lastRow="0" w:noHBand="0" w:noVBand="1" w:val="04A0"/>
        <w:tblBorders>
          <w:top w:val="single" w:sz="4" w:space="0" w:color="BFCADB"/>
          <w:left w:val="single" w:sz="4" w:space="0" w:color="BFCADB"/>
          <w:bottom w:val="single" w:sz="4" w:space="0" w:color="BFCADB"/>
          <w:right w:val="single" w:sz="4" w:space="0" w:color="BFCADB"/>
          <w:insideH w:val="single" w:sz="4" w:space="0" w:color="BFCADB"/>
          <w:insideV w:val="single" w:sz="4" w:space="0" w:color="BFCADB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814"/>
        <w:gridCol w:w="3628"/>
        <w:gridCol w:w="3515"/>
      </w:tblGrid>
      <w:tr>
        <w:trPr>
          <w:tblHeader/>
          <w:cantSplit/>
        </w:trPr>
        <w:tc>
          <w:tcPr>
            <w:tcW w:type="dxa" w:w="1814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前端页面</w:t>
            </w:r>
          </w:p>
        </w:tc>
        <w:tc>
          <w:tcPr>
            <w:tcW w:type="dxa" w:w="3628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调用的主要接口 / 通道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后端承接 Agent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登录 / 注册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/api/auth/register、/api/auth/login</w:t>
            </w:r>
          </w:p>
        </w:tc>
        <w:tc>
          <w:tcPr>
            <w:tcW w:type="dxa" w:w="3515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认证模块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市场 / 详情</w:t>
            </w:r>
          </w:p>
        </w:tc>
        <w:tc>
          <w:tcPr>
            <w:tcW w:type="dxa" w:w="3628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/api/market/items、/api/items/{id}</w:t>
            </w:r>
          </w:p>
        </w:tc>
        <w:tc>
          <w:tcPr>
            <w:tcW w:type="dxa" w:w="3515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搜索推荐 / 商品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发布 / 商品管理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/api/items（POST/PUT/DELETE）</w:t>
            </w:r>
          </w:p>
        </w:tc>
        <w:tc>
          <w:tcPr>
            <w:tcW w:type="dxa" w:w="3515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商品 + 审核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议价室</w:t>
            </w:r>
          </w:p>
        </w:tc>
        <w:tc>
          <w:tcPr>
            <w:tcW w:type="dxa" w:w="3628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/api/negotiation + /ws/negotiation/{id}</w:t>
            </w:r>
          </w:p>
        </w:tc>
        <w:tc>
          <w:tcPr>
            <w:tcW w:type="dxa" w:w="3515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议价谈判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订单 / 支付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/api/orders（状态机各动作）</w:t>
            </w:r>
          </w:p>
        </w:tc>
        <w:tc>
          <w:tcPr>
            <w:tcW w:type="dxa" w:w="3515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交易履约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评价 / 信用</w:t>
            </w:r>
          </w:p>
        </w:tc>
        <w:tc>
          <w:tcPr>
            <w:tcW w:type="dxa" w:w="3628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/api/social/reviews、/api/social/credit</w:t>
            </w:r>
          </w:p>
        </w:tc>
        <w:tc>
          <w:tcPr>
            <w:tcW w:type="dxa" w:w="3515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信用评价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审核 / 申诉处理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/api/moderation/todos、终裁写回</w:t>
            </w:r>
          </w:p>
        </w:tc>
        <w:tc>
          <w:tcPr>
            <w:tcW w:type="dxa" w:w="3515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审核 / 仲裁</w:t>
            </w:r>
          </w:p>
        </w:tc>
      </w:tr>
    </w:tbl>
    <w:p>
      <w:pPr>
        <w:spacing w:before="140" w:after="4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表 1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前端页面与后端接口 / Agent 的映射关系</w:t>
      </w:r>
    </w:p>
    <w:p>
      <w:pPr>
        <w:keepNext/>
        <w:spacing w:before="300" w:after="180" w:line="360" w:lineRule="auto"/>
        <w:shd w:val="clear" w:color="auto" w:fill="1F3A5F"/>
        <w:pBdr>
          <w:bottom w:val="single" w:sz="18" w:space="0" w:color="C9A84C"/>
        </w:pBdr>
        <w:outlineLvl w:val="0"/>
      </w:pPr>
      <w:r>
        <w:rPr>
          <w:rFonts w:ascii="Times New Roman" w:hAnsi="Times New Roman" w:eastAsia="微软雅黑" w:cs="Times New Roman"/>
          <w:sz w:val="26"/>
        </w:rPr>
        <w:t xml:space="preserve">　</w:t>
      </w:r>
      <w:r>
        <w:rPr>
          <w:rFonts w:ascii="Times New Roman" w:hAnsi="Times New Roman" w:eastAsia="微软雅黑" w:cs="Times New Roman"/>
          <w:b/>
          <w:color w:val="C9A84C"/>
          <w:sz w:val="27"/>
        </w:rPr>
        <w:t>02</w:t>
      </w:r>
      <w:r>
        <w:rPr>
          <w:rFonts w:ascii="Times New Roman" w:hAnsi="Times New Roman" w:eastAsia="微软雅黑" w:cs="Times New Roman"/>
          <w:sz w:val="26"/>
        </w:rPr>
        <w:t xml:space="preserve">　</w:t>
      </w:r>
      <w:r>
        <w:rPr>
          <w:rFonts w:ascii="Times New Roman" w:hAnsi="Times New Roman" w:eastAsia="微软雅黑" w:cs="Times New Roman"/>
          <w:b/>
          <w:color w:val="FFFFFF"/>
          <w:sz w:val="27"/>
        </w:rPr>
        <w:t>本周完成的项目内容</w:t>
      </w:r>
      <w:r>
        <w:rPr>
          <w:rFonts w:ascii="Times New Roman" w:hAnsi="Times New Roman" w:eastAsia="微软雅黑" w:cs="Times New Roman"/>
          <w:sz w:val="26"/>
        </w:rPr>
        <w:t xml:space="preserve">　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本周完成 REST API 全量接口与 WebSocket 通道打磨，交付登录、卖家端、买家端共 9 个页面并完成端到端联调：完整交易旅程首次在浏览器中走通，C1–C8 剧本可在界面触发，种子账号 2400320321 实现一键登录演示。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2.1  REST API 全量与议价 WebSocket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后端路由按域划分为 auth、items、market、negotiation、orders、social、moderation 七个模块，全部返回统一响应壳并由全局异常处理器兜底；议价 WebSocket 完成 JWT 握手、房间广播、心跳与断线回收。接口与通道清单如表 2 所示。</w:t>
      </w:r>
    </w:p>
    <w:tbl>
      <w:tblPr>
        <w:tblW w:type="dxa" w:w="8958"/>
        <w:jc w:val="center"/>
        <w:tblLook w:firstColumn="1" w:firstRow="1" w:lastColumn="0" w:lastRow="0" w:noHBand="0" w:noVBand="1" w:val="04A0"/>
        <w:tblBorders>
          <w:top w:val="single" w:sz="4" w:space="0" w:color="BFCADB"/>
          <w:left w:val="single" w:sz="4" w:space="0" w:color="BFCADB"/>
          <w:bottom w:val="single" w:sz="4" w:space="0" w:color="BFCADB"/>
          <w:right w:val="single" w:sz="4" w:space="0" w:color="BFCADB"/>
          <w:insideH w:val="single" w:sz="4" w:space="0" w:color="BFCADB"/>
          <w:insideV w:val="single" w:sz="4" w:space="0" w:color="BFCADB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927"/>
        <w:gridCol w:w="2948"/>
        <w:gridCol w:w="4082"/>
      </w:tblGrid>
      <w:tr>
        <w:trPr>
          <w:tblHeader/>
          <w:cantSplit/>
        </w:trPr>
        <w:tc>
          <w:tcPr>
            <w:tcW w:type="dxa" w:w="1927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948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代表接口</w:t>
            </w:r>
          </w:p>
        </w:tc>
        <w:tc>
          <w:tcPr>
            <w:tcW w:type="dxa" w:w="4082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routes_auth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register / login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bcrypt 校验、JWT 签发、当前用户信息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routes_items</w:t>
            </w:r>
          </w:p>
        </w:tc>
        <w:tc>
          <w:tcPr>
            <w:tcW w:type="dxa" w:w="2948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items CRUD、off-shelf</w:t>
            </w:r>
          </w:p>
        </w:tc>
        <w:tc>
          <w:tcPr>
            <w:tcW w:type="dxa" w:w="4082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卖家发布、改价、下架，状态机守卫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routes_market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market/items、categories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在售检索、排序与匹配理由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routes_negotiation</w:t>
            </w:r>
          </w:p>
        </w:tc>
        <w:tc>
          <w:tcPr>
            <w:tcW w:type="dxa" w:w="2948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sessions、offers、start</w:t>
            </w:r>
          </w:p>
        </w:tc>
        <w:tc>
          <w:tcPr>
            <w:tcW w:type="dxa" w:w="4082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发起议价、轮次记录、成交/破裂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routes_orders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pay、deliver、confirm、cancel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订单状态机各事件迁移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routes_social</w:t>
            </w:r>
          </w:p>
        </w:tc>
        <w:tc>
          <w:tcPr>
            <w:tcW w:type="dxa" w:w="2948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reviews、credit、appeals</w:t>
            </w:r>
          </w:p>
        </w:tc>
        <w:tc>
          <w:tcPr>
            <w:tcW w:type="dxa" w:w="4082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互评、信用分、申诉提交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routes_moderation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todos、review、verdict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人工复核、三级终裁写回黑板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WebSocket</w:t>
            </w:r>
          </w:p>
        </w:tc>
        <w:tc>
          <w:tcPr>
            <w:tcW w:type="dxa" w:w="2948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/ws/negotiation/{thread_id}</w:t>
            </w:r>
          </w:p>
        </w:tc>
        <w:tc>
          <w:tcPr>
            <w:tcW w:type="dxa" w:w="4082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实时出价广播、心跳、断线回收</w:t>
            </w:r>
          </w:p>
        </w:tc>
      </w:tr>
    </w:tbl>
    <w:p>
      <w:pPr>
        <w:spacing w:before="140" w:after="4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表 2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后端 REST API 与 WebSocket 通道清单</w:t>
      </w:r>
    </w:p>
    <w:p>
      <w:pPr>
        <w:spacing w:after="60" w:before="0"/>
      </w:pPr>
      <w:r>
        <w:rPr>
          <w:rFonts w:ascii="Times New Roman" w:hAnsi="Times New Roman" w:eastAsia="微软雅黑" w:cs="Times New Roman"/>
          <w:sz w:val="8"/>
        </w:rPr>
        <w:t xml:space="preserve"> </w:t>
      </w:r>
    </w:p>
    <w:tbl>
      <w:tblPr>
        <w:tblW w:type="dxa" w:w="8958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160" w:type="dxa"/>
          <w:bottom w:w="80" w:type="dxa"/>
          <w:right w:w="160" w:type="dxa"/>
        </w:tblCellMar>
      </w:tblPr>
      <w:tblGrid>
        <w:gridCol w:w="8958"/>
      </w:tblGrid>
      <w:tr>
        <w:tc>
          <w:tcPr>
            <w:tcW w:type="dxa" w:w="8958"/>
            <w:shd w:val="clear" w:color="auto" w:fill="F5F7FA"/>
            <w:tcBorders>
              <w:top w:val="single" w:sz="4" w:space="0" w:color="2E5C8A"/>
              <w:left w:val="single" w:sz="30" w:space="0" w:color="2E5C8A"/>
              <w:bottom w:val="single" w:sz="4" w:space="0" w:color="2E5C8A"/>
              <w:right w:val="single" w:sz="4" w:space="0" w:color="2E5C8A"/>
            </w:tcBorders>
          </w:tcPr>
          <w:p>
            <w:pPr>
              <w:spacing w:after="40"/>
            </w:pPr>
            <w:r/>
            <w:r>
              <w:rPr>
                <w:rFonts w:ascii="Consolas" w:hAnsi="Consolas" w:eastAsia="微软雅黑" w:cs="Consolas"/>
                <w:b/>
                <w:color w:val="2E5C8A"/>
                <w:sz w:val="17"/>
              </w:rPr>
              <w:t xml:space="preserve">  app/api/routes_negotiation.py（议价 WebSocket 端点）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@router.websocket("/ws/negotiation/{thread_id}")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async def ws_bargain(ws: WebSocket, thread_id: str):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user = await ws_auth(ws)                    # 握手时校验 query 中的 JWT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await hub.connect(thread_id, user.id, ws)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try: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    while True: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        envelope = await ws.receive_json()  # 前端发送 ACL 信封 JSON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        reply = await negotiation.on_offer(thread_id, user, envelope)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        await hub.broadcast(thread_id, reply)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except WebSocketDisconnect: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    await hub.disconnect(thread_id, user.id)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finally: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    await hub.recycle_if_empty(thread_id)   # 回收空房间与僵尸连接</w:t>
            </w:r>
          </w:p>
        </w:tc>
      </w:tr>
    </w:tbl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2.2  前端工程骨架与一键登录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前端采用 Vue3 + TypeScript + Vite + Pinia + Element Plus，通过 Vite 代理把 /api 与 /ws 转发到本地后端；登录页接入种子账号 2400320321 的一键填充，演示环境免输入即可进入系统。前端总体架构如图 1 所示。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5493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8_frontend_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4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图 1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Vue3 前端工程架构（Pinia / 路由守卫 / axios+WS / Element Plus）</w:t>
      </w:r>
    </w:p>
    <w:tbl>
      <w:tblPr>
        <w:tblW w:type="dxa" w:w="8958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160" w:type="dxa"/>
          <w:bottom w:w="80" w:type="dxa"/>
          <w:right w:w="160" w:type="dxa"/>
        </w:tblCellMar>
      </w:tblPr>
      <w:tblGrid>
        <w:gridCol w:w="8958"/>
      </w:tblGrid>
      <w:tr>
        <w:tc>
          <w:tcPr>
            <w:tcW w:type="dxa" w:w="8958"/>
            <w:shd w:val="clear" w:color="auto" w:fill="F5F7FA"/>
            <w:tcBorders>
              <w:top w:val="single" w:sz="4" w:space="0" w:color="2E5C8A"/>
              <w:left w:val="single" w:sz="30" w:space="0" w:color="2E5C8A"/>
              <w:bottom w:val="single" w:sz="4" w:space="0" w:color="2E5C8A"/>
              <w:right w:val="single" w:sz="4" w:space="0" w:color="2E5C8A"/>
            </w:tcBorders>
          </w:tcPr>
          <w:p>
            <w:pPr>
              <w:spacing w:after="40"/>
            </w:pPr>
            <w:r/>
            <w:r>
              <w:rPr>
                <w:rFonts w:ascii="Consolas" w:hAnsi="Consolas" w:eastAsia="微软雅黑" w:cs="Consolas"/>
                <w:b/>
                <w:color w:val="2E5C8A"/>
                <w:sz w:val="17"/>
              </w:rPr>
              <w:t xml:space="preserve">  src/api/http.ts（axios 拦截器：Token 注入与 401 跳转）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http.interceptors.request.use(cfg =&gt; {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const { token } = useAuthStore()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if (token) cfg.headers.Authorization = `Bearer ${token}`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return cfg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})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http.interceptors.response.use(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r =&gt; r.data,                        // 直接解包 { code, msg, data }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e =&gt; {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ElMessage.error(e.response?.data?.msg ?? '请求失败，请稍后重试')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if (e.response?.status === 401) router.push('/login')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return Promise.reject(e)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})</w:t>
            </w:r>
          </w:p>
        </w:tc>
      </w:tr>
    </w:tbl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2.3  卖家端：发布、管理与交付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智能发布页：</w:t>
      </w:r>
      <w:r>
        <w:rPr>
          <w:rFonts w:ascii="Times New Roman" w:hAnsi="Times New Roman" w:eastAsia="微软雅黑" w:cs="Times New Roman"/>
          <w:color w:val="2D2D2D"/>
          <w:sz w:val="21"/>
        </w:rPr>
        <w:t>标题/描述/价格表单带实时校验，提交后可看到 Agent 生成的类目、成色标签与建议价区间，审核结论与逐条理由即时回显。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商品管理：</w:t>
      </w:r>
      <w:r>
        <w:rPr>
          <w:rFonts w:ascii="Times New Roman" w:hAnsi="Times New Roman" w:eastAsia="微软雅黑" w:cs="Times New Roman"/>
          <w:color w:val="2D2D2D"/>
          <w:sz w:val="21"/>
        </w:rPr>
        <w:t>按状态（待审核/在售/被锁定/已成交/驳回/冻结）分区展示，支持在售商品改价与下架，驳回商品可补材料重提一次。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议价与交付：</w:t>
      </w:r>
      <w:r>
        <w:rPr>
          <w:rFonts w:ascii="Times New Roman" w:hAnsi="Times New Roman" w:eastAsia="微软雅黑" w:cs="Times New Roman"/>
          <w:color w:val="2D2D2D"/>
          <w:sz w:val="21"/>
        </w:rPr>
        <w:t>卖家可进入议价室参与还价，订单完成支付后在“待交付”列表确认校内面交，交付后等待买家收货与互评。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2.4  买家端：市场、议价室与订单信用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市场与详情：</w:t>
      </w:r>
      <w:r>
        <w:rPr>
          <w:rFonts w:ascii="Times New Roman" w:hAnsi="Times New Roman" w:eastAsia="微软雅黑" w:cs="Times New Roman"/>
          <w:color w:val="2D2D2D"/>
          <w:sz w:val="21"/>
        </w:rPr>
        <w:t>多条件检索 + 综合排序，每张商品卡展示匹配理由；详情页展示卖家信用与商品状态，仅在售商品可发起议价。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实时议价室：</w:t>
      </w:r>
      <w:r>
        <w:rPr>
          <w:rFonts w:ascii="Times New Roman" w:hAnsi="Times New Roman" w:eastAsia="微软雅黑" w:cs="Times New Roman"/>
          <w:color w:val="2D2D2D"/>
          <w:sz w:val="21"/>
        </w:rPr>
        <w:t>出价气泡左右分列、违例红条提示、倒计时与轮次可见，纳什参考价金色提示，成交后一键跳转支付。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订单与信用：</w:t>
      </w:r>
      <w:r>
        <w:rPr>
          <w:rFonts w:ascii="Times New Roman" w:hAnsi="Times New Roman" w:eastAsia="微软雅黑" w:cs="Times New Roman"/>
          <w:color w:val="2D2D2D"/>
          <w:sz w:val="21"/>
        </w:rPr>
        <w:t>模拟支付、确认收货、双向评价一条线走完，个人信用页展示信用分、风险标签与历史评价。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2.5  端到端联调与缺陷修复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以三类用户视角把页面串成完整旅程（图 2），按真实业务顺序联调，累计修复 14 个联调缺陷，发布→审核→搜索→议价→支付→交付→评价主链路与 C1–C8 冲突触发全部在浏览器中得到验证。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1815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8_e2e_pag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81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图 2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买家 / 卖家 / 管理员三类视角的端到端页面旅程</w:t>
      </w:r>
    </w:p>
    <w:tbl>
      <w:tblPr>
        <w:tblW w:type="dxa" w:w="8958"/>
        <w:jc w:val="center"/>
        <w:tblLook w:firstColumn="1" w:firstRow="1" w:lastColumn="0" w:lastRow="0" w:noHBand="0" w:noVBand="1" w:val="04A0"/>
        <w:tblBorders>
          <w:top w:val="single" w:sz="4" w:space="0" w:color="BFCADB"/>
          <w:left w:val="single" w:sz="4" w:space="0" w:color="BFCADB"/>
          <w:bottom w:val="single" w:sz="4" w:space="0" w:color="BFCADB"/>
          <w:right w:val="single" w:sz="4" w:space="0" w:color="BFCADB"/>
          <w:insideH w:val="single" w:sz="4" w:space="0" w:color="BFCADB"/>
          <w:insideV w:val="single" w:sz="4" w:space="0" w:color="BFCADB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814"/>
        <w:gridCol w:w="3061"/>
        <w:gridCol w:w="4082"/>
      </w:tblGrid>
      <w:tr>
        <w:trPr>
          <w:tblHeader/>
          <w:cantSplit/>
        </w:trPr>
        <w:tc>
          <w:tcPr>
            <w:tcW w:type="dxa" w:w="1814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联调问题</w:t>
            </w:r>
          </w:p>
        </w:tc>
        <w:tc>
          <w:tcPr>
            <w:tcW w:type="dxa" w:w="3061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4082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修复方式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时间格式不一致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后端 ISO 时间与前端展示差 8 小时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统一 UTC 传输、前端按本地时区格式化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WS 鉴权失败</w:t>
            </w:r>
          </w:p>
        </w:tc>
        <w:tc>
          <w:tcPr>
            <w:tcW w:type="dxa" w:w="3061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握手无法带 Authorization 头</w:t>
            </w:r>
          </w:p>
        </w:tc>
        <w:tc>
          <w:tcPr>
            <w:tcW w:type="dxa" w:w="4082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改为 query token + 子协议双通道兼容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议价室刷新丢状态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刷新后出价列表空白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进入房间先拉历史消息再订阅实时广播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锁提示不友好</w:t>
            </w:r>
          </w:p>
        </w:tc>
        <w:tc>
          <w:tcPr>
            <w:tcW w:type="dxa" w:w="3061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被抢单只显示通用 409</w:t>
            </w:r>
          </w:p>
        </w:tc>
        <w:tc>
          <w:tcPr>
            <w:tcW w:type="dxa" w:w="4082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按 E-201 给出“已被预占 + 替代推荐”文案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越权菜单闪现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低权限角色短暂看到管理菜单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路由守卫前置 + 菜单按角色计算渲染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重复提交评价</w:t>
            </w:r>
          </w:p>
        </w:tc>
        <w:tc>
          <w:tcPr>
            <w:tcW w:type="dxa" w:w="3061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快速双击生成两条评价</w:t>
            </w:r>
          </w:p>
        </w:tc>
        <w:tc>
          <w:tcPr>
            <w:tcW w:type="dxa" w:w="4082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按钮置灰 + 后端一单一次唯一约束兜底</w:t>
            </w:r>
          </w:p>
        </w:tc>
      </w:tr>
    </w:tbl>
    <w:p>
      <w:pPr>
        <w:spacing w:before="140" w:after="4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表 3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端到端联调典型缺陷与修复（本周共修复 14 项，列示 6 项）</w:t>
      </w:r>
    </w:p>
    <w:p>
      <w:pPr>
        <w:spacing w:after="60" w:before="0"/>
      </w:pPr>
      <w:r>
        <w:rPr>
          <w:rFonts w:ascii="Times New Roman" w:hAnsi="Times New Roman" w:eastAsia="微软雅黑" w:cs="Times New Roman"/>
          <w:sz w:val="8"/>
        </w:rPr>
        <w:t xml:space="preserve"> </w:t>
      </w:r>
    </w:p>
    <w:tbl>
      <w:tblPr>
        <w:tblW w:type="dxa" w:w="8958"/>
        <w:jc w:val="center"/>
        <w:tblLook w:firstColumn="1" w:firstRow="1" w:lastColumn="0" w:lastRow="0" w:noHBand="0" w:noVBand="1" w:val="04A0"/>
        <w:tblLayout w:type="fixed"/>
        <w:tblCellMar>
          <w:top w:w="110" w:type="dxa"/>
          <w:left w:w="180" w:type="dxa"/>
          <w:bottom w:w="110" w:type="dxa"/>
          <w:right w:w="160" w:type="dxa"/>
        </w:tblCellMar>
      </w:tblPr>
      <w:tblGrid>
        <w:gridCol w:w="8958"/>
      </w:tblGrid>
      <w:tr>
        <w:tc>
          <w:tcPr>
            <w:tcW w:type="dxa" w:w="8958"/>
            <w:shd w:val="clear" w:color="auto" w:fill="EAF3EE"/>
            <w:tcBorders>
              <w:top w:val="single" w:sz="4" w:space="0" w:color="4E8A6B"/>
              <w:left w:val="single" w:sz="30" w:space="0" w:color="4E8A6B"/>
              <w:bottom w:val="single" w:sz="4" w:space="0" w:color="4E8A6B"/>
              <w:right w:val="single" w:sz="4" w:space="0" w:color="4E8A6B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Times New Roman" w:hAnsi="Times New Roman" w:eastAsia="微软雅黑" w:cs="Times New Roman"/>
                <w:b/>
                <w:color w:val="4E8A6B"/>
                <w:sz w:val="21"/>
              </w:rPr>
              <w:t>◆  本周联调成果数据</w:t>
            </w:r>
          </w:p>
          <w:p>
            <w:pPr>
              <w:spacing w:line="312" w:lineRule="auto" w:after="20"/>
            </w:pPr>
            <w:r>
              <w:rPr>
                <w:rFonts w:ascii="Times New Roman" w:hAnsi="Times New Roman" w:eastAsia="微软雅黑" w:cs="Times New Roman"/>
                <w:color w:val="2D2D2D"/>
                <w:sz w:val="19"/>
              </w:rPr>
              <w:t>后端：7 个 REST 模块 40+ 接口 + 1 条 WebSocket 通道；前端：3 类角色 9 个页面；</w:t>
            </w:r>
          </w:p>
          <w:p>
            <w:pPr>
              <w:spacing w:line="312" w:lineRule="auto" w:after="20"/>
            </w:pPr>
            <w:r>
              <w:rPr>
                <w:rFonts w:ascii="Times New Roman" w:hAnsi="Times New Roman" w:eastAsia="微软雅黑" w:cs="Times New Roman"/>
                <w:color w:val="2D2D2D"/>
                <w:sz w:val="19"/>
              </w:rPr>
              <w:t>验证：主链路端到端走通，C1–C8 剧本可在界面触发；缺陷：发现 14 项、修复 14 项，回归通过。</w:t>
            </w:r>
          </w:p>
        </w:tc>
      </w:tr>
    </w:tbl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2.6  前端路由地图与访问控制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把 9 个页面按买/卖/管理员三角色组织成路由地图：登录后经 MainLayout 路由守卫按角色落地，议价室、信用页为跨角色共享路由，管理员五个页面仅 admin 可进入；前端隐藏菜单只是体验层，后端角色守卫仍是最终防线，如图 3 所示。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566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8_route_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56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图 3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前端路由地图：登录 → 主布局守卫 → 三角色 16 条路由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2.7  联调缺陷度量面板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对本周 14 个联调缺陷按类别统计并绘制燃尽曲线：字段契约类最多（4 个，均为前后端类型不同步），其次是 WS 通道（3 个）；累计发现与累计修复曲线在 D6 汇合清零，未修复缺口逐日收窄，回归测试全部通过，如图 4 所示。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3165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8_bug_metr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316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图 4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联调缺陷分类对比（发现/修复）与六日缺陷燃尽曲线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2.8  交易转化漏斗（一周模拟数据）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用种子数据模拟一周流量（500 次曝光）计算六层转化：整体成交率 17.2%，其中“议价→支付”转化高达 94.2%，说明单调让步加纳什参考价有效促成了已进入议价的会话；最大流失发生在曝光→详情（53.6%），为搜索排序优化指明了方向，如图 5 所示。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96000" cy="29570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8_funn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957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图 5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交易转化漏斗：六层转化率与议价机制效果度量（n=500）</w:t>
      </w:r>
    </w:p>
    <w:tbl>
      <w:tblPr>
        <w:tblW w:type="dxa" w:w="8686"/>
        <w:jc w:val="center"/>
        <w:tblLook w:firstColumn="1" w:firstRow="1" w:lastColumn="0" w:lastRow="0" w:noHBand="0" w:noVBand="1" w:val="04A0"/>
        <w:tblBorders>
          <w:top w:val="single" w:sz="10" w:space="0" w:color="FFFFFF"/>
          <w:left w:val="single" w:sz="10" w:space="0" w:color="FFFFFF"/>
          <w:bottom w:val="single" w:sz="10" w:space="0" w:color="FFFFFF"/>
          <w:right w:val="single" w:sz="10" w:space="0" w:color="FFFFFF"/>
          <w:insideH w:val="single" w:sz="10" w:space="0" w:color="FFFFFF"/>
          <w:insideV w:val="single" w:sz="10" w:space="0" w:color="FFFFFF"/>
        </w:tblBorders>
        <w:tblLayout w:type="fixed"/>
        <w:tblCellMar>
          <w:top w:w="90" w:type="dxa"/>
          <w:left w:w="80" w:type="dxa"/>
          <w:bottom w:w="90" w:type="dxa"/>
          <w:right w:w="80" w:type="dxa"/>
        </w:tblCellMar>
      </w:tblPr>
      <w:tblGrid>
        <w:gridCol w:w="2171"/>
        <w:gridCol w:w="2171"/>
        <w:gridCol w:w="2171"/>
        <w:gridCol w:w="2171"/>
      </w:tblGrid>
      <w:tr>
        <w:trPr>
          <w:cantSplit/>
        </w:trPr>
        <w:tc>
          <w:tcPr>
            <w:tcW w:type="dxa" w:w="2171"/>
            <w:shd w:val="clear" w:color="auto" w:fill="F2F5F9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32"/>
              </w:rPr>
              <w:t>40+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软雅黑" w:cs="Times New Roman"/>
                <w:color w:val="6E7785"/>
                <w:sz w:val="16"/>
              </w:rPr>
              <w:t>REST 接口</w:t>
            </w:r>
          </w:p>
        </w:tc>
        <w:tc>
          <w:tcPr>
            <w:tcW w:type="dxa" w:w="2171"/>
            <w:shd w:val="clear" w:color="auto" w:fill="EDF2F8"/>
            <w:tcBorders>
              <w:top w:val="single" w:sz="4" w:space="0" w:color="2E5C8A"/>
              <w:left w:val="single" w:sz="4" w:space="0" w:color="2E5C8A"/>
              <w:bottom w:val="single" w:sz="4" w:space="0" w:color="2E5C8A"/>
              <w:right w:val="single" w:sz="4" w:space="0" w:color="2E5C8A"/>
            </w:tcBorders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2E5C8A"/>
                <w:sz w:val="32"/>
              </w:rPr>
              <w:t>9 个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软雅黑" w:cs="Times New Roman"/>
                <w:color w:val="6E7785"/>
                <w:sz w:val="16"/>
              </w:rPr>
              <w:t>角色化页面</w:t>
            </w:r>
          </w:p>
        </w:tc>
        <w:tc>
          <w:tcPr>
            <w:tcW w:type="dxa" w:w="2171"/>
            <w:shd w:val="clear" w:color="auto" w:fill="FBEDEC"/>
            <w:tcBorders>
              <w:top w:val="single" w:sz="4" w:space="0" w:color="B5483D"/>
              <w:left w:val="single" w:sz="4" w:space="0" w:color="B5483D"/>
              <w:bottom w:val="single" w:sz="4" w:space="0" w:color="B5483D"/>
              <w:right w:val="single" w:sz="4" w:space="0" w:color="B5483D"/>
            </w:tcBorders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B5483D"/>
                <w:sz w:val="32"/>
              </w:rPr>
              <w:t>14/14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软雅黑" w:cs="Times New Roman"/>
                <w:color w:val="6E7785"/>
                <w:sz w:val="16"/>
              </w:rPr>
              <w:t>缺陷发现/修复</w:t>
            </w:r>
          </w:p>
        </w:tc>
        <w:tc>
          <w:tcPr>
            <w:tcW w:type="dxa" w:w="2171"/>
            <w:shd w:val="clear" w:color="auto" w:fill="EAF3EE"/>
            <w:tcBorders>
              <w:top w:val="single" w:sz="4" w:space="0" w:color="4E8A6B"/>
              <w:left w:val="single" w:sz="4" w:space="0" w:color="4E8A6B"/>
              <w:bottom w:val="single" w:sz="4" w:space="0" w:color="4E8A6B"/>
              <w:right w:val="single" w:sz="4" w:space="0" w:color="4E8A6B"/>
            </w:tcBorders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4E8A6B"/>
                <w:sz w:val="32"/>
              </w:rPr>
              <w:t>94.2%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软雅黑" w:cs="Times New Roman"/>
                <w:color w:val="6E7785"/>
                <w:sz w:val="16"/>
              </w:rPr>
              <w:t>议价→支付转化</w:t>
            </w:r>
          </w:p>
        </w:tc>
      </w:tr>
    </w:tbl>
    <w:p>
      <w:pPr>
        <w:keepNext/>
        <w:spacing w:before="300" w:after="180" w:line="360" w:lineRule="auto"/>
        <w:shd w:val="clear" w:color="auto" w:fill="1F3A5F"/>
        <w:pBdr>
          <w:bottom w:val="single" w:sz="18" w:space="0" w:color="C9A84C"/>
        </w:pBdr>
        <w:outlineLvl w:val="0"/>
      </w:pPr>
      <w:r>
        <w:rPr>
          <w:rFonts w:ascii="Times New Roman" w:hAnsi="Times New Roman" w:eastAsia="微软雅黑" w:cs="Times New Roman"/>
          <w:sz w:val="26"/>
        </w:rPr>
        <w:t xml:space="preserve">　</w:t>
      </w:r>
      <w:r>
        <w:rPr>
          <w:rFonts w:ascii="Times New Roman" w:hAnsi="Times New Roman" w:eastAsia="微软雅黑" w:cs="Times New Roman"/>
          <w:b/>
          <w:color w:val="C9A84C"/>
          <w:sz w:val="27"/>
        </w:rPr>
        <w:t>03</w:t>
      </w:r>
      <w:r>
        <w:rPr>
          <w:rFonts w:ascii="Times New Roman" w:hAnsi="Times New Roman" w:eastAsia="微软雅黑" w:cs="Times New Roman"/>
          <w:sz w:val="26"/>
        </w:rPr>
        <w:t xml:space="preserve">　</w:t>
      </w:r>
      <w:r>
        <w:rPr>
          <w:rFonts w:ascii="Times New Roman" w:hAnsi="Times New Roman" w:eastAsia="微软雅黑" w:cs="Times New Roman"/>
          <w:b/>
          <w:color w:val="FFFFFF"/>
          <w:sz w:val="27"/>
        </w:rPr>
        <w:t>存在的问题</w:t>
      </w:r>
      <w:r>
        <w:rPr>
          <w:rFonts w:ascii="Times New Roman" w:hAnsi="Times New Roman" w:eastAsia="微软雅黑" w:cs="Times New Roman"/>
          <w:sz w:val="26"/>
        </w:rPr>
        <w:t xml:space="preserve">　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主链路可见可用之后，剩余工作集中在“管理者视角、稳定性与交付打磨”：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问题 1　管理员工作台仍是半成品：</w:t>
      </w:r>
      <w:r>
        <w:rPr>
          <w:rFonts w:ascii="Times New Roman" w:hAnsi="Times New Roman" w:eastAsia="微软雅黑" w:cs="Times New Roman"/>
          <w:color w:val="2D2D2D"/>
          <w:sz w:val="21"/>
        </w:rPr>
        <w:t>审核复核列表已有独立页面，但三级终裁、熔断接管、安全事件待办还未整合进统一工作台。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问题 2　监控大屏尚在预研：</w:t>
      </w:r>
      <w:r>
        <w:rPr>
          <w:rFonts w:ascii="Times New Roman" w:hAnsi="Times New Roman" w:eastAsia="微软雅黑" w:cs="Times New Roman"/>
          <w:color w:val="2D2D2D"/>
          <w:sz w:val="21"/>
        </w:rPr>
        <w:t>ECharts 组件验证可行，但黑板实时事件推送与图表布局还未实现，属 P1 范围。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问题 3　剧本缺少一键运行器：</w:t>
      </w:r>
      <w:r>
        <w:rPr>
          <w:rFonts w:ascii="Times New Roman" w:hAnsi="Times New Roman" w:eastAsia="微软雅黑" w:cs="Times New Roman"/>
          <w:color w:val="2D2D2D"/>
          <w:sz w:val="21"/>
        </w:rPr>
        <w:t>C1–C8 目前靠手工页面操作触发，需要“一键运行 + 期望结果对照表”支撑答辩演示。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问题 4　自动化测试覆盖不足：</w:t>
      </w:r>
      <w:r>
        <w:rPr>
          <w:rFonts w:ascii="Times New Roman" w:hAnsi="Times New Roman" w:eastAsia="微软雅黑" w:cs="Times New Roman"/>
          <w:color w:val="2D2D2D"/>
          <w:sz w:val="21"/>
        </w:rPr>
        <w:t>现有测试集中在并发锁与内核，接口与前端交互的回归测试还不成体系。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问题 5　WS 重连极端场景：</w:t>
      </w:r>
      <w:r>
        <w:rPr>
          <w:rFonts w:ascii="Times New Roman" w:hAnsi="Times New Roman" w:eastAsia="微软雅黑" w:cs="Times New Roman"/>
          <w:color w:val="2D2D2D"/>
          <w:sz w:val="21"/>
        </w:rPr>
        <w:t>弱网下频繁断线重连时偶发重复广播，需要加消息去重与序列号。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问题 6　一键启动与文档待整理：</w:t>
      </w:r>
      <w:r>
        <w:rPr>
          <w:rFonts w:ascii="Times New Roman" w:hAnsi="Times New Roman" w:eastAsia="微软雅黑" w:cs="Times New Roman"/>
          <w:color w:val="2D2D2D"/>
          <w:sz w:val="21"/>
        </w:rPr>
        <w:t>前后端需分别启动、环境变量与默认账号说明分散在代码里，新机器演示前需要一键脚本与 README。</w:t>
      </w:r>
    </w:p>
    <w:p>
      <w:pPr>
        <w:keepNext/>
        <w:spacing w:before="300" w:after="180" w:line="360" w:lineRule="auto"/>
        <w:shd w:val="clear" w:color="auto" w:fill="1F3A5F"/>
        <w:pBdr>
          <w:bottom w:val="single" w:sz="18" w:space="0" w:color="C9A84C"/>
        </w:pBdr>
        <w:outlineLvl w:val="0"/>
      </w:pPr>
      <w:r>
        <w:rPr>
          <w:rFonts w:ascii="Times New Roman" w:hAnsi="Times New Roman" w:eastAsia="微软雅黑" w:cs="Times New Roman"/>
          <w:sz w:val="26"/>
        </w:rPr>
        <w:t xml:space="preserve">　</w:t>
      </w:r>
      <w:r>
        <w:rPr>
          <w:rFonts w:ascii="Times New Roman" w:hAnsi="Times New Roman" w:eastAsia="微软雅黑" w:cs="Times New Roman"/>
          <w:b/>
          <w:color w:val="C9A84C"/>
          <w:sz w:val="27"/>
        </w:rPr>
        <w:t>04</w:t>
      </w:r>
      <w:r>
        <w:rPr>
          <w:rFonts w:ascii="Times New Roman" w:hAnsi="Times New Roman" w:eastAsia="微软雅黑" w:cs="Times New Roman"/>
          <w:sz w:val="26"/>
        </w:rPr>
        <w:t xml:space="preserve">　</w:t>
      </w:r>
      <w:r>
        <w:rPr>
          <w:rFonts w:ascii="Times New Roman" w:hAnsi="Times New Roman" w:eastAsia="微软雅黑" w:cs="Times New Roman"/>
          <w:b/>
          <w:color w:val="FFFFFF"/>
          <w:sz w:val="27"/>
        </w:rPr>
        <w:t>下周计划（2026.11.9 — 2026.11.15）</w:t>
      </w:r>
      <w:r>
        <w:rPr>
          <w:rFonts w:ascii="Times New Roman" w:hAnsi="Times New Roman" w:eastAsia="微软雅黑" w:cs="Times New Roman"/>
          <w:sz w:val="26"/>
        </w:rPr>
        <w:t xml:space="preserve">　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下周进入“验收与答辩准备”冲刺：补齐管理员工作台与一键剧本运行器，建立自动化测试门禁，完成一键启动脚本、README 与答辩演示资产，并视进度推进监控大屏：</w:t>
      </w:r>
    </w:p>
    <w:tbl>
      <w:tblPr>
        <w:tblW w:type="dxa" w:w="8958"/>
        <w:jc w:val="center"/>
        <w:tblLook w:firstColumn="1" w:firstRow="1" w:lastColumn="0" w:lastRow="0" w:noHBand="0" w:noVBand="1" w:val="04A0"/>
        <w:tblBorders>
          <w:top w:val="single" w:sz="4" w:space="0" w:color="BFCADB"/>
          <w:left w:val="single" w:sz="4" w:space="0" w:color="BFCADB"/>
          <w:bottom w:val="single" w:sz="4" w:space="0" w:color="BFCADB"/>
          <w:right w:val="single" w:sz="4" w:space="0" w:color="BFCADB"/>
          <w:insideH w:val="single" w:sz="4" w:space="0" w:color="BFCADB"/>
          <w:insideV w:val="single" w:sz="4" w:space="0" w:color="BFCADB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680"/>
        <w:gridCol w:w="1927"/>
        <w:gridCol w:w="5216"/>
        <w:gridCol w:w="1134"/>
      </w:tblGrid>
      <w:tr>
        <w:trPr>
          <w:tblHeader/>
          <w:cantSplit/>
        </w:trPr>
        <w:tc>
          <w:tcPr>
            <w:tcW w:type="dxa" w:w="680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27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计划任务</w:t>
            </w:r>
          </w:p>
        </w:tc>
        <w:tc>
          <w:tcPr>
            <w:tcW w:type="dxa" w:w="5216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具体内容与交付标准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关联问题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1</w:t>
            </w:r>
          </w:p>
        </w:tc>
        <w:tc>
          <w:tcPr>
            <w:tcW w:type="dxa" w:w="1927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管理员工作台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整合复核、三级终裁、安全事件、熔断接管四类待办并强制留痕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问题 1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2</w:t>
            </w:r>
          </w:p>
        </w:tc>
        <w:tc>
          <w:tcPr>
            <w:tcW w:type="dxa" w:w="1927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黑板监控大屏（P1）</w:t>
            </w:r>
          </w:p>
        </w:tc>
        <w:tc>
          <w:tcPr>
            <w:tcW w:type="dxa" w:w="5216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实时事件流、冲突占比、成交漏斗、Agent 健康位 ECharts 大屏</w:t>
            </w:r>
          </w:p>
        </w:tc>
        <w:tc>
          <w:tcPr>
            <w:tcW w:type="dxa" w:w="1134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问题 2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3</w:t>
            </w:r>
          </w:p>
        </w:tc>
        <w:tc>
          <w:tcPr>
            <w:tcW w:type="dxa" w:w="1927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剧本一键运行器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≥10 个剧本内置 C1–C8，一键运行输出轨迹与期望对照表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问题 3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4</w:t>
            </w:r>
          </w:p>
        </w:tc>
        <w:tc>
          <w:tcPr>
            <w:tcW w:type="dxa" w:w="1927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测试与质量门禁</w:t>
            </w:r>
          </w:p>
        </w:tc>
        <w:tc>
          <w:tcPr>
            <w:tcW w:type="dxa" w:w="5216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pytest 单元/接口/并发/故障注入补齐，核心路径全覆盖</w:t>
            </w:r>
          </w:p>
        </w:tc>
        <w:tc>
          <w:tcPr>
            <w:tcW w:type="dxa" w:w="1134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问题 4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5</w:t>
            </w:r>
          </w:p>
        </w:tc>
        <w:tc>
          <w:tcPr>
            <w:tcW w:type="dxa" w:w="1927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WS 稳定性加固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消息序列号去重、断线重连回归、弱网模拟测试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问题 5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6</w:t>
            </w:r>
          </w:p>
        </w:tc>
        <w:tc>
          <w:tcPr>
            <w:tcW w:type="dxa" w:w="1927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一键启动与 README</w:t>
            </w:r>
          </w:p>
        </w:tc>
        <w:tc>
          <w:tcPr>
            <w:tcW w:type="dxa" w:w="5216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后端初始化 + 前端启动脚本、环境说明、默认账号文档</w:t>
            </w:r>
          </w:p>
        </w:tc>
        <w:tc>
          <w:tcPr>
            <w:tcW w:type="dxa" w:w="1134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问题 6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7</w:t>
            </w:r>
          </w:p>
        </w:tc>
        <w:tc>
          <w:tcPr>
            <w:tcW w:type="dxa" w:w="1927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答辩演示资产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演示动线脚本、剧本讲解卡、架构图/流程图素材整理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支撑答辩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8</w:t>
            </w:r>
          </w:p>
        </w:tc>
        <w:tc>
          <w:tcPr>
            <w:tcW w:type="dxa" w:w="1927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P1：Docker Compose</w:t>
            </w:r>
          </w:p>
        </w:tc>
        <w:tc>
          <w:tcPr>
            <w:tcW w:type="dxa" w:w="5216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资源允许时容器化前后端 + 数据卷，降低换设备成本</w:t>
            </w:r>
          </w:p>
        </w:tc>
        <w:tc>
          <w:tcPr>
            <w:tcW w:type="dxa" w:w="1134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交付增强</w:t>
            </w:r>
          </w:p>
        </w:tc>
      </w:tr>
    </w:tbl>
    <w:p>
      <w:pPr>
        <w:spacing w:before="140" w:after="4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表 4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下周工作计划表</w:t>
      </w:r>
    </w:p>
    <w:p>
      <w:pPr>
        <w:spacing w:after="80" w:before="0"/>
      </w:pPr>
      <w:r>
        <w:rPr>
          <w:rFonts w:ascii="Times New Roman" w:hAnsi="Times New Roman" w:eastAsia="微软雅黑" w:cs="Times New Roman"/>
          <w:sz w:val="8"/>
        </w:rPr>
        <w:t xml:space="preserve"> </w:t>
      </w:r>
    </w:p>
    <w:tbl>
      <w:tblPr>
        <w:tblW w:type="dxa" w:w="8958"/>
        <w:jc w:val="center"/>
        <w:tblLook w:firstColumn="1" w:firstRow="1" w:lastColumn="0" w:lastRow="0" w:noHBand="0" w:noVBand="1" w:val="04A0"/>
        <w:tblLayout w:type="fixed"/>
        <w:tblCellMar>
          <w:top w:w="110" w:type="dxa"/>
          <w:left w:w="180" w:type="dxa"/>
          <w:bottom w:w="110" w:type="dxa"/>
          <w:right w:w="160" w:type="dxa"/>
        </w:tblCellMar>
      </w:tblPr>
      <w:tblGrid>
        <w:gridCol w:w="8958"/>
      </w:tblGrid>
      <w:tr>
        <w:tc>
          <w:tcPr>
            <w:tcW w:type="dxa" w:w="8958"/>
            <w:shd w:val="clear" w:color="auto" w:fill="F2F5F9"/>
            <w:tcBorders>
              <w:top w:val="single" w:sz="4" w:space="0" w:color="1F3A5F"/>
              <w:left w:val="single" w:sz="30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21"/>
              </w:rPr>
              <w:t>◆  本周小结</w:t>
            </w:r>
          </w:p>
          <w:p>
            <w:pPr>
              <w:spacing w:line="312" w:lineRule="auto" w:after="20"/>
            </w:pPr>
            <w:r>
              <w:rPr>
                <w:rFonts w:ascii="Times New Roman" w:hAnsi="Times New Roman" w:eastAsia="微软雅黑" w:cs="Times New Roman"/>
                <w:color w:val="2D2D2D"/>
                <w:sz w:val="19"/>
              </w:rPr>
              <w:t>本周系统第一次以“完整产品”的形态出现：40+ 接口支撑 9 个页面，买卖双方在浏览器中走完了从发布到评价的全过程，冲突剧本也能在界面触发；</w:t>
            </w:r>
          </w:p>
          <w:p>
            <w:pPr>
              <w:spacing w:line="312" w:lineRule="auto" w:after="20"/>
            </w:pPr>
            <w:r>
              <w:rPr>
                <w:rFonts w:ascii="Times New Roman" w:hAnsi="Times New Roman" w:eastAsia="微软雅黑" w:cs="Times New Roman"/>
                <w:color w:val="2D2D2D"/>
                <w:sz w:val="19"/>
              </w:rPr>
              <w:t>契约先行的联调策略让 14 个缺陷全部在本周闭环。下周补齐管理员视角、一键剧本与测试门禁，并准备一键启动与答辩资产，向 V4 验收标准逐条收口。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304" w:right="1474" w:bottom="1247" w:left="147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6" w:color="D8DEE6"/>
      </w:pBdr>
    </w:pPr>
    <w:r/>
    <w:r>
      <w:rPr>
        <w:rFonts w:ascii="Times New Roman" w:hAnsi="Times New Roman" w:eastAsia="微软雅黑" w:cs="Times New Roman"/>
        <w:color w:val="6E7785"/>
        <w:sz w:val="18"/>
      </w:rPr>
      <w:t xml:space="preserve">— </w:t>
    </w:r>
    <w:r>
      <w:rPr>
        <w:rFonts w:ascii="Times New Roman" w:hAnsi="Times New Roman" w:eastAsia="微软雅黑" w:cs="Times New Roman"/>
        <w:color w:val="6E7785"/>
        <w:sz w:val="18"/>
      </w:rPr>
      <w:fldChar w:fldCharType="begin"/>
    </w:r>
    <w:r>
      <w:rPr>
        <w:rFonts w:ascii="Times New Roman" w:hAnsi="Times New Roman" w:eastAsia="微软雅黑" w:cs="Times New Roman"/>
        <w:color w:val="6E7785"/>
        <w:sz w:val="18"/>
      </w:rPr>
      <w:instrText xml:space="preserve"> PAGE </w:instrText>
    </w:r>
    <w:r>
      <w:rPr>
        <w:rFonts w:ascii="Times New Roman" w:hAnsi="Times New Roman" w:eastAsia="微软雅黑" w:cs="Times New Roman"/>
        <w:color w:val="6E7785"/>
        <w:sz w:val="18"/>
      </w:rPr>
      <w:fldChar w:fldCharType="separate"/>
    </w:r>
    <w:r>
      <w:rPr>
        <w:rFonts w:ascii="Times New Roman" w:hAnsi="Times New Roman" w:eastAsia="微软雅黑" w:cs="Times New Roman"/>
        <w:color w:val="6E7785"/>
        <w:sz w:val="18"/>
      </w:rPr>
      <w:t>1</w:t>
    </w:r>
    <w:r>
      <w:rPr>
        <w:rFonts w:ascii="Times New Roman" w:hAnsi="Times New Roman" w:eastAsia="微软雅黑" w:cs="Times New Roman"/>
        <w:color w:val="6E7785"/>
        <w:sz w:val="18"/>
      </w:rPr>
      <w:fldChar w:fldCharType="end"/>
    </w:r>
    <w:r>
      <w:rPr>
        <w:rFonts w:ascii="Times New Roman" w:hAnsi="Times New Roman" w:eastAsia="微软雅黑" w:cs="Times New Roman"/>
        <w:color w:val="6E7785"/>
        <w:sz w:val="18"/>
      </w:rPr>
      <w:t xml:space="preserve"> / </w:t>
    </w:r>
    <w:r>
      <w:rPr>
        <w:rFonts w:ascii="Times New Roman" w:hAnsi="Times New Roman" w:eastAsia="微软雅黑" w:cs="Times New Roman"/>
        <w:color w:val="6E7785"/>
        <w:sz w:val="18"/>
      </w:rPr>
      <w:fldChar w:fldCharType="begin"/>
    </w:r>
    <w:r>
      <w:rPr>
        <w:rFonts w:ascii="Times New Roman" w:hAnsi="Times New Roman" w:eastAsia="微软雅黑" w:cs="Times New Roman"/>
        <w:color w:val="6E7785"/>
        <w:sz w:val="18"/>
      </w:rPr>
      <w:instrText xml:space="preserve"> NUMPAGES </w:instrText>
    </w:r>
    <w:r>
      <w:rPr>
        <w:rFonts w:ascii="Times New Roman" w:hAnsi="Times New Roman" w:eastAsia="微软雅黑" w:cs="Times New Roman"/>
        <w:color w:val="6E7785"/>
        <w:sz w:val="18"/>
      </w:rPr>
      <w:fldChar w:fldCharType="separate"/>
    </w:r>
    <w:r>
      <w:rPr>
        <w:rFonts w:ascii="Times New Roman" w:hAnsi="Times New Roman" w:eastAsia="微软雅黑" w:cs="Times New Roman"/>
        <w:color w:val="6E7785"/>
        <w:sz w:val="18"/>
      </w:rPr>
      <w:t>1</w:t>
    </w:r>
    <w:r>
      <w:rPr>
        <w:rFonts w:ascii="Times New Roman" w:hAnsi="Times New Roman" w:eastAsia="微软雅黑" w:cs="Times New Roman"/>
        <w:color w:val="6E7785"/>
        <w:sz w:val="18"/>
      </w:rPr>
      <w:fldChar w:fldCharType="end"/>
    </w:r>
    <w:r>
      <w:rPr>
        <w:rFonts w:ascii="Times New Roman" w:hAnsi="Times New Roman" w:eastAsia="微软雅黑" w:cs="Times New Roman"/>
        <w:color w:val="6E7785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3" w:color="C9A84C"/>
      </w:pBdr>
    </w:pPr>
    <w:r/>
    <w:r>
      <w:rPr>
        <w:rFonts w:ascii="Times New Roman" w:hAnsi="Times New Roman" w:eastAsia="微软雅黑" w:cs="Times New Roman"/>
        <w:color w:val="6E7785"/>
        <w:sz w:val="16"/>
      </w:rPr>
      <w:t>校园二手交易平台的 Multi-Agent 设计与实现　|　项目周报 · 第 8 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 w:eastAsia="微软雅黑" w:cs="Times New Roman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