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B5C98"/>
    <w:p w14:paraId="16F5F12A"/>
    <w:p w14:paraId="5693F609"/>
    <w:p w14:paraId="2337115E">
      <w:pPr>
        <w:jc w:val="center"/>
      </w:pPr>
      <w:r>
        <w:rPr>
          <w:rFonts w:ascii="微软雅黑" w:hAnsi="微软雅黑" w:eastAsia="微软雅黑"/>
          <w:b/>
          <w:color w:val="1F3864"/>
          <w:sz w:val="52"/>
        </w:rPr>
        <w:t>校园二手交易平台 Multi-Agent 系统</w:t>
      </w:r>
    </w:p>
    <w:p w14:paraId="1BA5F035">
      <w:pPr>
        <w:jc w:val="center"/>
      </w:pPr>
      <w:r>
        <w:rPr>
          <w:rFonts w:ascii="微软雅黑" w:hAnsi="微软雅黑" w:eastAsia="微软雅黑"/>
          <w:b/>
          <w:color w:val="2E74B5"/>
          <w:sz w:val="68"/>
        </w:rPr>
        <w:t>项 目 风 险 计 划</w:t>
      </w:r>
    </w:p>
    <w:p w14:paraId="34C8469A">
      <w:pPr>
        <w:jc w:val="center"/>
      </w:pPr>
      <w:r>
        <w:rPr>
          <w:rFonts w:ascii="微软雅黑" w:hAnsi="微软雅黑" w:eastAsia="微软雅黑"/>
          <w:color w:val="595959"/>
          <w:sz w:val="26"/>
        </w:rPr>
        <w:t>Project Risk Management Plan</w:t>
      </w:r>
    </w:p>
    <w:p w14:paraId="7A70E5BF">
      <w:pPr>
        <w:jc w:val="center"/>
      </w:pPr>
      <w:r>
        <w:rPr>
          <w:rFonts w:ascii="微软雅黑" w:hAnsi="微软雅黑" w:eastAsia="微软雅黑"/>
          <w:color w:val="595959"/>
          <w:sz w:val="24"/>
        </w:rPr>
        <w:t>—— 1 个协调管理 Agent ＋ 8 个专家 Agent ——</w:t>
      </w:r>
    </w:p>
    <w:p w14:paraId="12CF9328"/>
    <w:p w14:paraId="7D0F9312"/>
    <w:p w14:paraId="444D12AC"/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200" w:type="dxa"/>
          <w:bottom w:w="70" w:type="dxa"/>
          <w:right w:w="200" w:type="dxa"/>
        </w:tblCellMar>
      </w:tblPr>
      <w:tblGrid>
        <w:gridCol w:w="2381"/>
        <w:gridCol w:w="6237"/>
      </w:tblGrid>
      <w:tr w14:paraId="2F4271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200" w:type="dxa"/>
            <w:bottom w:w="70" w:type="dxa"/>
            <w:right w:w="200" w:type="dxa"/>
          </w:tblCellMar>
        </w:tblPrEx>
        <w:trPr>
          <w:jc w:val="center"/>
        </w:trPr>
        <w:tc>
          <w:tcPr>
            <w:tcW w:w="2381" w:type="dxa"/>
            <w:shd w:val="clear" w:color="auto" w:fill="1F3864"/>
            <w:vAlign w:val="center"/>
          </w:tcPr>
          <w:p w14:paraId="12AAFE1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6236" w:type="dxa"/>
            <w:shd w:val="clear" w:color="auto" w:fill="1F3864"/>
            <w:vAlign w:val="center"/>
          </w:tcPr>
          <w:p w14:paraId="53C5444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 w14:paraId="0FC3A8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200" w:type="dxa"/>
            <w:bottom w:w="70" w:type="dxa"/>
            <w:right w:w="200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C583EA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文 档 编 号</w:t>
            </w:r>
          </w:p>
        </w:tc>
        <w:tc>
          <w:tcPr>
            <w:tcW w:w="6236" w:type="dxa"/>
            <w:vAlign w:val="center"/>
          </w:tcPr>
          <w:p w14:paraId="15702231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RMP-MAS-2026-001</w:t>
            </w:r>
          </w:p>
        </w:tc>
      </w:tr>
      <w:tr w14:paraId="374F08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200" w:type="dxa"/>
            <w:bottom w:w="70" w:type="dxa"/>
            <w:right w:w="200" w:type="dxa"/>
          </w:tblCellMar>
        </w:tblPrEx>
        <w:trPr>
          <w:jc w:val="center"/>
        </w:trPr>
        <w:tc>
          <w:tcPr>
            <w:tcW w:w="2381" w:type="dxa"/>
            <w:shd w:val="clear" w:color="auto" w:fill="F6F9FC"/>
            <w:vAlign w:val="center"/>
          </w:tcPr>
          <w:p w14:paraId="45915C4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当 前 版 本</w:t>
            </w:r>
          </w:p>
        </w:tc>
        <w:tc>
          <w:tcPr>
            <w:tcW w:w="6236" w:type="dxa"/>
            <w:shd w:val="clear" w:color="auto" w:fill="F6F9FC"/>
            <w:vAlign w:val="center"/>
          </w:tcPr>
          <w:p w14:paraId="51DA9BF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</w:tr>
      <w:tr w14:paraId="249AC7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200" w:type="dxa"/>
            <w:bottom w:w="70" w:type="dxa"/>
            <w:right w:w="200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582DE9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密　　　级</w:t>
            </w:r>
          </w:p>
        </w:tc>
        <w:tc>
          <w:tcPr>
            <w:tcW w:w="6236" w:type="dxa"/>
            <w:vAlign w:val="center"/>
          </w:tcPr>
          <w:p w14:paraId="7E42767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内部 · 项目组</w:t>
            </w:r>
          </w:p>
        </w:tc>
      </w:tr>
      <w:tr w14:paraId="2FB585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200" w:type="dxa"/>
            <w:bottom w:w="70" w:type="dxa"/>
            <w:right w:w="200" w:type="dxa"/>
          </w:tblCellMar>
        </w:tblPrEx>
        <w:trPr>
          <w:jc w:val="center"/>
        </w:trPr>
        <w:tc>
          <w:tcPr>
            <w:tcW w:w="2381" w:type="dxa"/>
            <w:shd w:val="clear" w:color="auto" w:fill="F6F9FC"/>
            <w:vAlign w:val="center"/>
          </w:tcPr>
          <w:p w14:paraId="08447CD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编 制 人</w:t>
            </w:r>
          </w:p>
        </w:tc>
        <w:tc>
          <w:tcPr>
            <w:tcW w:w="6236" w:type="dxa"/>
            <w:shd w:val="clear" w:color="auto" w:fill="F6F9FC"/>
            <w:vAlign w:val="center"/>
          </w:tcPr>
          <w:p w14:paraId="1FAFD3F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梁奕琦（学号 2400320321）</w:t>
            </w:r>
          </w:p>
        </w:tc>
      </w:tr>
      <w:tr w14:paraId="7540F8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200" w:type="dxa"/>
            <w:bottom w:w="70" w:type="dxa"/>
            <w:right w:w="200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F1C847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审 核 人</w:t>
            </w:r>
          </w:p>
        </w:tc>
        <w:tc>
          <w:tcPr>
            <w:tcW w:w="6236" w:type="dxa"/>
            <w:vAlign w:val="center"/>
          </w:tcPr>
          <w:p w14:paraId="003C4D61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梁奕琦</w:t>
            </w:r>
          </w:p>
        </w:tc>
      </w:tr>
      <w:tr w14:paraId="4D99D4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200" w:type="dxa"/>
            <w:bottom w:w="70" w:type="dxa"/>
            <w:right w:w="200" w:type="dxa"/>
          </w:tblCellMar>
        </w:tblPrEx>
        <w:trPr>
          <w:jc w:val="center"/>
        </w:trPr>
        <w:tc>
          <w:tcPr>
            <w:tcW w:w="2381" w:type="dxa"/>
            <w:shd w:val="clear" w:color="auto" w:fill="F6F9FC"/>
            <w:vAlign w:val="center"/>
          </w:tcPr>
          <w:p w14:paraId="5073014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指 导 教 师</w:t>
            </w:r>
          </w:p>
        </w:tc>
        <w:tc>
          <w:tcPr>
            <w:tcW w:w="6236" w:type="dxa"/>
            <w:shd w:val="clear" w:color="auto" w:fill="F6F9FC"/>
            <w:vAlign w:val="center"/>
          </w:tcPr>
          <w:p w14:paraId="0B2E036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曾志新</w:t>
            </w:r>
          </w:p>
        </w:tc>
      </w:tr>
      <w:tr w14:paraId="741C9E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200" w:type="dxa"/>
            <w:bottom w:w="70" w:type="dxa"/>
            <w:right w:w="200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5484EC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依 据 文 档</w:t>
            </w:r>
          </w:p>
        </w:tc>
        <w:tc>
          <w:tcPr>
            <w:tcW w:w="6236" w:type="dxa"/>
            <w:vAlign w:val="center"/>
          </w:tcPr>
          <w:p w14:paraId="7997F7CD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《软件需求规格说明书》SRS-MAS-2026-001 V4.0（2026-10-13 基线）</w:t>
            </w:r>
          </w:p>
        </w:tc>
      </w:tr>
      <w:tr w14:paraId="0F4AFF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200" w:type="dxa"/>
            <w:bottom w:w="70" w:type="dxa"/>
            <w:right w:w="200" w:type="dxa"/>
          </w:tblCellMar>
        </w:tblPrEx>
        <w:trPr>
          <w:jc w:val="center"/>
        </w:trPr>
        <w:tc>
          <w:tcPr>
            <w:tcW w:w="2381" w:type="dxa"/>
            <w:shd w:val="clear" w:color="auto" w:fill="F6F9FC"/>
            <w:vAlign w:val="center"/>
          </w:tcPr>
          <w:p w14:paraId="0DD40DE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项 目 周 期</w:t>
            </w:r>
          </w:p>
        </w:tc>
        <w:tc>
          <w:tcPr>
            <w:tcW w:w="6236" w:type="dxa"/>
            <w:shd w:val="clear" w:color="auto" w:fill="F6F9FC"/>
            <w:vAlign w:val="center"/>
          </w:tcPr>
          <w:p w14:paraId="65338B7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2026-09-14 — 2027-01-10（共 17 个教学周）</w:t>
            </w:r>
          </w:p>
        </w:tc>
      </w:tr>
      <w:tr w14:paraId="5CE6B3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200" w:type="dxa"/>
            <w:bottom w:w="70" w:type="dxa"/>
            <w:right w:w="200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48174C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编 制 日 期</w:t>
            </w:r>
          </w:p>
        </w:tc>
        <w:tc>
          <w:tcPr>
            <w:tcW w:w="6236" w:type="dxa"/>
            <w:vAlign w:val="center"/>
          </w:tcPr>
          <w:p w14:paraId="59302F9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 xml:space="preserve">2026 年 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9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月 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sz w:val="21"/>
              </w:rPr>
              <w:t xml:space="preserve"> 日</w:t>
            </w:r>
          </w:p>
        </w:tc>
      </w:tr>
    </w:tbl>
    <w:p w14:paraId="7E291C79">
      <w:r>
        <w:br w:type="page"/>
      </w:r>
    </w:p>
    <w:p w14:paraId="2F27EA57">
      <w:pPr>
        <w:pBdr>
          <w:bottom w:val="single" w:color="2E74B5" w:sz="12" w:space="3"/>
        </w:pBdr>
        <w:spacing w:before="320" w:after="120"/>
      </w:pPr>
      <w:r>
        <w:rPr>
          <w:rFonts w:ascii="微软雅黑" w:hAnsi="微软雅黑" w:eastAsia="微软雅黑"/>
          <w:b/>
          <w:color w:val="1F3864"/>
          <w:sz w:val="30"/>
        </w:rPr>
        <w:t xml:space="preserve">  文档控制信息</w:t>
      </w:r>
    </w:p>
    <w:p w14:paraId="79338C20">
      <w:pPr>
        <w:spacing w:before="200" w:after="80"/>
      </w:pPr>
      <w:r>
        <w:rPr>
          <w:rFonts w:ascii="微软雅黑" w:hAnsi="微软雅黑" w:eastAsia="微软雅黑"/>
          <w:b/>
          <w:color w:val="2E74B5"/>
          <w:sz w:val="24"/>
        </w:rPr>
        <w:t>▍版本修订历史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20"/>
        <w:gridCol w:w="1247"/>
        <w:gridCol w:w="4309"/>
        <w:gridCol w:w="1020"/>
        <w:gridCol w:w="1134"/>
      </w:tblGrid>
      <w:tr w14:paraId="1EA6AE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35873A9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40696DD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w="4309" w:type="dxa"/>
            <w:shd w:val="clear" w:color="auto" w:fill="1F3864"/>
            <w:vAlign w:val="center"/>
          </w:tcPr>
          <w:p w14:paraId="4C2DAE4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修订内容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772C423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修订人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55CE1B9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4CF223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473ED6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w="1247" w:type="dxa"/>
            <w:vAlign w:val="center"/>
          </w:tcPr>
          <w:p w14:paraId="7E7EACE0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w="4309" w:type="dxa"/>
            <w:vAlign w:val="center"/>
          </w:tcPr>
          <w:p w14:paraId="52B3A6E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依据 SRS V4.0 基线与 WBS（T1–T32）首次编制：风险流程、评估标准、18 项风险登记册、TOP5 专项预案、里程碑监控点与应急储备</w:t>
            </w:r>
          </w:p>
        </w:tc>
        <w:tc>
          <w:tcPr>
            <w:tcW w:w="1020" w:type="dxa"/>
            <w:vAlign w:val="center"/>
          </w:tcPr>
          <w:p w14:paraId="2ED973B2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梁奕琦</w:t>
            </w:r>
          </w:p>
        </w:tc>
        <w:tc>
          <w:tcPr>
            <w:tcW w:w="1134" w:type="dxa"/>
            <w:vAlign w:val="center"/>
          </w:tcPr>
          <w:p w14:paraId="7455A71E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 当前生效</w:t>
            </w:r>
          </w:p>
        </w:tc>
      </w:tr>
    </w:tbl>
    <w:p w14:paraId="139A79DB">
      <w:pPr>
        <w:spacing w:before="200" w:after="80"/>
      </w:pPr>
      <w:r>
        <w:rPr>
          <w:rFonts w:ascii="微软雅黑" w:hAnsi="微软雅黑" w:eastAsia="微软雅黑"/>
          <w:b/>
          <w:color w:val="2E74B5"/>
          <w:sz w:val="24"/>
        </w:rPr>
        <w:t>▍评审与签署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134"/>
        <w:gridCol w:w="1020"/>
        <w:gridCol w:w="3628"/>
        <w:gridCol w:w="1360"/>
        <w:gridCol w:w="1587"/>
      </w:tblGrid>
      <w:tr w14:paraId="0E93E4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134" w:type="dxa"/>
            <w:shd w:val="clear" w:color="auto" w:fill="1F3864"/>
            <w:vAlign w:val="center"/>
          </w:tcPr>
          <w:p w14:paraId="6F029F7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6B1729F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w="3628" w:type="dxa"/>
            <w:shd w:val="clear" w:color="auto" w:fill="1F3864"/>
            <w:vAlign w:val="center"/>
          </w:tcPr>
          <w:p w14:paraId="0458F40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53421E1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签署日期</w:t>
            </w:r>
          </w:p>
        </w:tc>
        <w:tc>
          <w:tcPr>
            <w:tcW w:w="1587" w:type="dxa"/>
            <w:shd w:val="clear" w:color="auto" w:fill="1F3864"/>
            <w:vAlign w:val="center"/>
          </w:tcPr>
          <w:p w14:paraId="58F5C38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意见</w:t>
            </w:r>
          </w:p>
        </w:tc>
      </w:tr>
      <w:tr w14:paraId="04616F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47136B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编制人</w:t>
            </w:r>
          </w:p>
        </w:tc>
        <w:tc>
          <w:tcPr>
            <w:tcW w:w="1020" w:type="dxa"/>
            <w:vAlign w:val="center"/>
          </w:tcPr>
          <w:p w14:paraId="764581A2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梁奕琦</w:t>
            </w:r>
          </w:p>
        </w:tc>
        <w:tc>
          <w:tcPr>
            <w:tcW w:w="3628" w:type="dxa"/>
            <w:vAlign w:val="center"/>
          </w:tcPr>
          <w:p w14:paraId="721655E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风险识别、评估、应对规划与登记册维护</w:t>
            </w:r>
          </w:p>
        </w:tc>
        <w:tc>
          <w:tcPr>
            <w:tcW w:w="1361" w:type="dxa"/>
            <w:vAlign w:val="center"/>
          </w:tcPr>
          <w:p w14:paraId="47BDE14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w="1587" w:type="dxa"/>
            <w:vAlign w:val="center"/>
          </w:tcPr>
          <w:p w14:paraId="0801CA25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同意发布</w:t>
            </w:r>
          </w:p>
        </w:tc>
      </w:tr>
      <w:tr w14:paraId="68BF40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134" w:type="dxa"/>
            <w:shd w:val="clear" w:color="auto" w:fill="F6F9FC"/>
            <w:vAlign w:val="center"/>
          </w:tcPr>
          <w:p w14:paraId="368EC1A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审核人</w:t>
            </w:r>
          </w:p>
        </w:tc>
        <w:tc>
          <w:tcPr>
            <w:tcW w:w="1020" w:type="dxa"/>
            <w:shd w:val="clear" w:color="auto" w:fill="F6F9FC"/>
            <w:vAlign w:val="center"/>
          </w:tcPr>
          <w:p w14:paraId="08A78662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梁奕琦</w:t>
            </w:r>
          </w:p>
        </w:tc>
        <w:tc>
          <w:tcPr>
            <w:tcW w:w="3628" w:type="dxa"/>
            <w:shd w:val="clear" w:color="auto" w:fill="F6F9FC"/>
            <w:vAlign w:val="center"/>
          </w:tcPr>
          <w:p w14:paraId="2ECEF177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风险覆盖完整性、预案可执行性审核</w:t>
            </w:r>
          </w:p>
        </w:tc>
        <w:tc>
          <w:tcPr>
            <w:tcW w:w="1361" w:type="dxa"/>
            <w:shd w:val="clear" w:color="auto" w:fill="F6F9FC"/>
            <w:vAlign w:val="center"/>
          </w:tcPr>
          <w:p w14:paraId="074740A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w="1587" w:type="dxa"/>
            <w:shd w:val="clear" w:color="auto" w:fill="F6F9FC"/>
            <w:vAlign w:val="center"/>
          </w:tcPr>
          <w:p w14:paraId="1BBB7E55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审核通过</w:t>
            </w:r>
          </w:p>
        </w:tc>
      </w:tr>
      <w:tr w14:paraId="0BDC50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FF01E7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指导教师</w:t>
            </w:r>
          </w:p>
        </w:tc>
        <w:tc>
          <w:tcPr>
            <w:tcW w:w="1020" w:type="dxa"/>
            <w:vAlign w:val="center"/>
          </w:tcPr>
          <w:p w14:paraId="2497A13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曾志新</w:t>
            </w:r>
          </w:p>
        </w:tc>
        <w:tc>
          <w:tcPr>
            <w:tcW w:w="3628" w:type="dxa"/>
            <w:vAlign w:val="center"/>
          </w:tcPr>
          <w:p w14:paraId="256A3FE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重大风险（高风险项）升级评审与方向指导</w:t>
            </w:r>
          </w:p>
        </w:tc>
        <w:tc>
          <w:tcPr>
            <w:tcW w:w="1361" w:type="dxa"/>
            <w:vAlign w:val="center"/>
          </w:tcPr>
          <w:p w14:paraId="3F9E7B5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w="1587" w:type="dxa"/>
            <w:vAlign w:val="center"/>
          </w:tcPr>
          <w:p w14:paraId="5CF23EE0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 w14:paraId="31736BB4">
      <w:pPr>
        <w:pBdr>
          <w:bottom w:val="single" w:color="2E74B5" w:sz="12" w:space="3"/>
        </w:pBdr>
        <w:spacing w:before="320" w:after="120"/>
      </w:pPr>
      <w:r>
        <w:rPr>
          <w:rFonts w:ascii="微软雅黑" w:hAnsi="微软雅黑" w:eastAsia="微软雅黑"/>
          <w:b/>
          <w:color w:val="1F3864"/>
          <w:sz w:val="30"/>
        </w:rPr>
        <w:t>一  引言</w:t>
      </w:r>
    </w:p>
    <w:p w14:paraId="2EF209D9">
      <w:pPr>
        <w:spacing w:before="200" w:after="80"/>
      </w:pPr>
      <w:r>
        <w:rPr>
          <w:rFonts w:ascii="微软雅黑" w:hAnsi="微软雅黑" w:eastAsia="微软雅黑"/>
          <w:b/>
          <w:color w:val="2E74B5"/>
          <w:sz w:val="24"/>
        </w:rPr>
        <w:t>▍1.1 编写目的</w:t>
      </w:r>
    </w:p>
    <w:p w14:paraId="5947CDF0">
      <w:pPr>
        <w:spacing w:after="100"/>
        <w:ind w:firstLine="420"/>
      </w:pPr>
      <w:r>
        <w:rPr>
          <w:rFonts w:ascii="微软雅黑" w:hAnsi="微软雅黑" w:eastAsia="微软雅黑"/>
          <w:b w:val="0"/>
          <w:sz w:val="21"/>
        </w:rPr>
        <w:t>本计划是“校园二手交易平台 Multi-Agent 系统”项目的风险管理基准文件，依据《软件需求规格说明书 V4.0》（以下简称 SRS V4）确定的范围、技术选型、验收标准与 WBS 任务队列（T1–T32）编制，目的在于：系统识别项目全周期可能影响 P0 目标（完整交易旅程、9 类 Agent、三级冲突机制、8 类冲突场景、≥10 个剧本、15 条验收标准）达成的不确定性；给出统一的概率—影响评估标准与风险等级；对每项风险预先安排预防措施、应急计划、责任人和触发指标；建立周度监控与升级机制，确保风险被尽早发现、按级响应、闭环留痕。</w:t>
      </w:r>
    </w:p>
    <w:p w14:paraId="31157D33">
      <w:pPr>
        <w:spacing w:before="200" w:after="80"/>
      </w:pPr>
      <w:r>
        <w:rPr>
          <w:rFonts w:ascii="微软雅黑" w:hAnsi="微软雅黑" w:eastAsia="微软雅黑"/>
          <w:b/>
          <w:color w:val="2E74B5"/>
          <w:sz w:val="24"/>
        </w:rPr>
        <w:t>▍1.2 项目概述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</w:tblPr>
      <w:tblGrid>
        <w:gridCol w:w="1474"/>
        <w:gridCol w:w="7257"/>
      </w:tblGrid>
      <w:tr w14:paraId="18E113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4A27387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要素</w:t>
            </w:r>
          </w:p>
        </w:tc>
        <w:tc>
          <w:tcPr>
            <w:tcW w:w="7257" w:type="dxa"/>
            <w:shd w:val="clear" w:color="auto" w:fill="1F3864"/>
            <w:vAlign w:val="center"/>
          </w:tcPr>
          <w:p w14:paraId="2E4A33D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 w14:paraId="30424B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F82FEA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系统定位</w:t>
            </w:r>
          </w:p>
        </w:tc>
        <w:tc>
          <w:tcPr>
            <w:tcW w:w="7257" w:type="dxa"/>
            <w:vAlign w:val="center"/>
          </w:tcPr>
          <w:p w14:paraId="1E85355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可运行、可演示、可解释、可复现实验的校园二手交易 Web 平台原型</w:t>
            </w:r>
          </w:p>
        </w:tc>
      </w:tr>
      <w:tr w14:paraId="44916A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474" w:type="dxa"/>
            <w:shd w:val="clear" w:color="auto" w:fill="F6F9FC"/>
            <w:vAlign w:val="center"/>
          </w:tcPr>
          <w:p w14:paraId="00F45D9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核心架构</w:t>
            </w:r>
          </w:p>
        </w:tc>
        <w:tc>
          <w:tcPr>
            <w:tcW w:w="7257" w:type="dxa"/>
            <w:shd w:val="clear" w:color="auto" w:fill="F6F9FC"/>
            <w:vAlign w:val="center"/>
          </w:tcPr>
          <w:p w14:paraId="0C34EC3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 个协调管理 Agent ＋ 8 个专家 Agent；类型化黑板 SSOT ＋ FIPA ACL 风格消息</w:t>
            </w:r>
          </w:p>
        </w:tc>
      </w:tr>
      <w:tr w14:paraId="3A7008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6A7C2E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研究核心</w:t>
            </w:r>
          </w:p>
        </w:tc>
        <w:tc>
          <w:tcPr>
            <w:tcW w:w="7257" w:type="dxa"/>
            <w:vAlign w:val="center"/>
          </w:tcPr>
          <w:p w14:paraId="7AFE6611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四类冲突检测（资源 / 目标 / 知识 / 决策）与三级处理阶梯（对等协商 → 协调仲裁 → 人工兜底）；安全一票否决不可覆盖</w:t>
            </w:r>
          </w:p>
        </w:tc>
      </w:tr>
      <w:tr w14:paraId="797FC5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474" w:type="dxa"/>
            <w:shd w:val="clear" w:color="auto" w:fill="F6F9FC"/>
            <w:vAlign w:val="center"/>
          </w:tcPr>
          <w:p w14:paraId="2FB702D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技术栈</w:t>
            </w:r>
          </w:p>
        </w:tc>
        <w:tc>
          <w:tcPr>
            <w:tcW w:w="7257" w:type="dxa"/>
            <w:shd w:val="clear" w:color="auto" w:fill="F6F9FC"/>
            <w:vAlign w:val="center"/>
          </w:tcPr>
          <w:p w14:paraId="568FAF1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Python 3.11 / LangGraph 1.x / FastAPI / SQLModel + SQLite(WAL) / DeepSeek + RuleLLM 兜底 / Vue3 + TS + Element Plus / ECharts / pytest</w:t>
            </w:r>
          </w:p>
        </w:tc>
      </w:tr>
      <w:tr w14:paraId="14A545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5EB273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范围分级</w:t>
            </w:r>
          </w:p>
        </w:tc>
        <w:tc>
          <w:tcPr>
            <w:tcW w:w="7257" w:type="dxa"/>
            <w:vAlign w:val="center"/>
          </w:tcPr>
          <w:p w14:paraId="6A7CB1C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P0 本期必须（AC-1～AC-15 全量支撑）；P1 资源允许（监控大屏、权重调参实验、Docker Compose）</w:t>
            </w:r>
          </w:p>
        </w:tc>
      </w:tr>
      <w:tr w14:paraId="05EACD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474" w:type="dxa"/>
            <w:shd w:val="clear" w:color="auto" w:fill="F6F9FC"/>
            <w:vAlign w:val="center"/>
          </w:tcPr>
          <w:p w14:paraId="4C9FE20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团队构成</w:t>
            </w:r>
          </w:p>
        </w:tc>
        <w:tc>
          <w:tcPr>
            <w:tcW w:w="7257" w:type="dxa"/>
            <w:shd w:val="clear" w:color="auto" w:fill="F6F9FC"/>
            <w:vAlign w:val="center"/>
          </w:tcPr>
          <w:p w14:paraId="1C364F91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单人开发（梁奕琦，承担项目经理/设计/编码/测试）；指导教师曾志新负责方向与评审</w:t>
            </w:r>
          </w:p>
        </w:tc>
      </w:tr>
      <w:tr w14:paraId="085FF6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12A50C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关键约束</w:t>
            </w:r>
          </w:p>
        </w:tc>
        <w:tc>
          <w:tcPr>
            <w:tcW w:w="7257" w:type="dxa"/>
            <w:vAlign w:val="center"/>
          </w:tcPr>
          <w:p w14:paraId="43F3092D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单机 Windows 开发演示；模拟支付、无真实物流与真实支付；规则库与权重为经验初值；无 API Key 须可完整跑通 P0 与全部剧本</w:t>
            </w:r>
          </w:p>
        </w:tc>
      </w:tr>
    </w:tbl>
    <w:p w14:paraId="1C4FCFC5">
      <w:pPr>
        <w:spacing w:before="200" w:after="80"/>
      </w:pPr>
      <w:r>
        <w:rPr>
          <w:rFonts w:ascii="微软雅黑" w:hAnsi="微软雅黑" w:eastAsia="微软雅黑"/>
          <w:b/>
          <w:color w:val="2E74B5"/>
          <w:sz w:val="24"/>
        </w:rPr>
        <w:t>▍1.3 参考资料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793"/>
        <w:gridCol w:w="6123"/>
        <w:gridCol w:w="1814"/>
      </w:tblGrid>
      <w:tr w14:paraId="19FD1A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794" w:type="dxa"/>
            <w:shd w:val="clear" w:color="auto" w:fill="1F3864"/>
            <w:vAlign w:val="center"/>
          </w:tcPr>
          <w:p w14:paraId="4F4701B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6123" w:type="dxa"/>
            <w:shd w:val="clear" w:color="auto" w:fill="1F3864"/>
            <w:vAlign w:val="center"/>
          </w:tcPr>
          <w:p w14:paraId="6744581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资料名称</w:t>
            </w:r>
          </w:p>
        </w:tc>
        <w:tc>
          <w:tcPr>
            <w:tcW w:w="1814" w:type="dxa"/>
            <w:shd w:val="clear" w:color="auto" w:fill="1F3864"/>
            <w:vAlign w:val="center"/>
          </w:tcPr>
          <w:p w14:paraId="105FAA0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版本/日期</w:t>
            </w:r>
          </w:p>
        </w:tc>
      </w:tr>
      <w:tr w14:paraId="0FE225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5276E76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6123" w:type="dxa"/>
            <w:vAlign w:val="center"/>
          </w:tcPr>
          <w:p w14:paraId="17EA00D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《校园二手交易平台 Multi-Agent 软件需求规格说明书》SRS-MAS-2026-001</w:t>
            </w:r>
          </w:p>
        </w:tc>
        <w:tc>
          <w:tcPr>
            <w:tcW w:w="1814" w:type="dxa"/>
            <w:vAlign w:val="center"/>
          </w:tcPr>
          <w:p w14:paraId="3D01E3CA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V4.0 / 2026-10-13</w:t>
            </w:r>
          </w:p>
        </w:tc>
      </w:tr>
      <w:tr w14:paraId="2E313C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794" w:type="dxa"/>
            <w:shd w:val="clear" w:color="auto" w:fill="F6F9FC"/>
            <w:vAlign w:val="center"/>
          </w:tcPr>
          <w:p w14:paraId="5830012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6123" w:type="dxa"/>
            <w:shd w:val="clear" w:color="auto" w:fill="F6F9FC"/>
            <w:vAlign w:val="center"/>
          </w:tcPr>
          <w:p w14:paraId="0176859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实施任务队列 WBS（T1–T32，含 AC 覆盖索引）</w:t>
            </w:r>
          </w:p>
        </w:tc>
        <w:tc>
          <w:tcPr>
            <w:tcW w:w="1814" w:type="dxa"/>
            <w:shd w:val="clear" w:color="auto" w:fill="F6F9FC"/>
            <w:vAlign w:val="center"/>
          </w:tcPr>
          <w:p w14:paraId="09356E2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v1.0 / 2026-10-11</w:t>
            </w:r>
          </w:p>
        </w:tc>
      </w:tr>
      <w:tr w14:paraId="3BD533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4EACE7E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6123" w:type="dxa"/>
            <w:vAlign w:val="center"/>
          </w:tcPr>
          <w:p w14:paraId="6727BE5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《校园二手交易平台 Multi-Agent 设计与实现 · 周报（第 1 周）》</w:t>
            </w:r>
          </w:p>
        </w:tc>
        <w:tc>
          <w:tcPr>
            <w:tcW w:w="1814" w:type="dxa"/>
            <w:vAlign w:val="center"/>
          </w:tcPr>
          <w:p w14:paraId="0739ECE7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2026.09.14–09.20</w:t>
            </w:r>
          </w:p>
        </w:tc>
      </w:tr>
      <w:tr w14:paraId="652B19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794" w:type="dxa"/>
            <w:shd w:val="clear" w:color="auto" w:fill="F6F9FC"/>
            <w:vAlign w:val="center"/>
          </w:tcPr>
          <w:p w14:paraId="53EEA1E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w="6123" w:type="dxa"/>
            <w:shd w:val="clear" w:color="auto" w:fill="F6F9FC"/>
            <w:vAlign w:val="center"/>
          </w:tcPr>
          <w:p w14:paraId="0B36410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项目验收标准 AC-1 ～ AC-15（12 rule + 3 rubric）</w:t>
            </w:r>
          </w:p>
        </w:tc>
        <w:tc>
          <w:tcPr>
            <w:tcW w:w="1814" w:type="dxa"/>
            <w:shd w:val="clear" w:color="auto" w:fill="F6F9FC"/>
            <w:vAlign w:val="center"/>
          </w:tcPr>
          <w:p w14:paraId="217BF008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SRS V4 第九章</w:t>
            </w:r>
          </w:p>
        </w:tc>
      </w:tr>
      <w:tr w14:paraId="721174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705C231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6123" w:type="dxa"/>
            <w:vAlign w:val="center"/>
          </w:tcPr>
          <w:p w14:paraId="0AA8825E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非功能需求 NFR-1 ～ NFR-9</w:t>
            </w:r>
          </w:p>
        </w:tc>
        <w:tc>
          <w:tcPr>
            <w:tcW w:w="1814" w:type="dxa"/>
            <w:vAlign w:val="center"/>
          </w:tcPr>
          <w:p w14:paraId="1954DDF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SRS V4 第七章</w:t>
            </w:r>
          </w:p>
        </w:tc>
      </w:tr>
    </w:tbl>
    <w:p w14:paraId="0C167C28">
      <w:pPr>
        <w:pBdr>
          <w:bottom w:val="single" w:color="2E74B5" w:sz="12" w:space="3"/>
        </w:pBdr>
        <w:spacing w:before="320" w:after="120"/>
      </w:pPr>
      <w:r>
        <w:rPr>
          <w:rFonts w:ascii="微软雅黑" w:hAnsi="微软雅黑" w:eastAsia="微软雅黑"/>
          <w:b/>
          <w:color w:val="1F3864"/>
          <w:sz w:val="30"/>
        </w:rPr>
        <w:t>二  风险管理组织与职责</w:t>
      </w:r>
    </w:p>
    <w:p w14:paraId="1BA75575">
      <w:pPr>
        <w:spacing w:after="120"/>
        <w:ind w:firstLine="420"/>
      </w:pPr>
      <w:r>
        <w:rPr>
          <w:rFonts w:ascii="微软雅黑" w:hAnsi="微软雅黑" w:eastAsia="微软雅黑"/>
          <w:b w:val="0"/>
          <w:sz w:val="21"/>
        </w:rPr>
        <w:t>本项目为单人团队，风险管理实行“开发者首责、导师升级”的精简模式：风险责任人统一为开发者本人；高等级风险及跨范畴决策在周报中专题上报指导教师评审。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</w:tblPr>
      <w:tblGrid>
        <w:gridCol w:w="1701"/>
        <w:gridCol w:w="1020"/>
        <w:gridCol w:w="6010"/>
      </w:tblGrid>
      <w:tr w14:paraId="7703B7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701" w:type="dxa"/>
            <w:shd w:val="clear" w:color="auto" w:fill="1F3864"/>
            <w:vAlign w:val="center"/>
          </w:tcPr>
          <w:p w14:paraId="3C0B537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77BEE44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人员</w:t>
            </w:r>
          </w:p>
        </w:tc>
        <w:tc>
          <w:tcPr>
            <w:tcW w:w="6009" w:type="dxa"/>
            <w:shd w:val="clear" w:color="auto" w:fill="1F3864"/>
            <w:vAlign w:val="center"/>
          </w:tcPr>
          <w:p w14:paraId="6EC4FB5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风险管理职责</w:t>
            </w:r>
          </w:p>
        </w:tc>
      </w:tr>
      <w:tr w14:paraId="0618CA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316B8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项目经理 / 开发者</w:t>
            </w:r>
          </w:p>
        </w:tc>
        <w:tc>
          <w:tcPr>
            <w:tcW w:w="1020" w:type="dxa"/>
            <w:vAlign w:val="center"/>
          </w:tcPr>
          <w:p w14:paraId="44E29FB1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梁奕琦</w:t>
            </w:r>
          </w:p>
        </w:tc>
        <w:tc>
          <w:tcPr>
            <w:tcW w:w="6009" w:type="dxa"/>
            <w:vAlign w:val="center"/>
          </w:tcPr>
          <w:p w14:paraId="0093C2A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维护风险登记册；执行风险识别、概率影响评估、应对措施落地与周度复盘；监控触发指标；风险发生时启动应急预案并记录闭环结果</w:t>
            </w:r>
          </w:p>
        </w:tc>
      </w:tr>
      <w:tr w14:paraId="654648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701" w:type="dxa"/>
            <w:shd w:val="clear" w:color="auto" w:fill="F6F9FC"/>
            <w:vAlign w:val="center"/>
          </w:tcPr>
          <w:p w14:paraId="7A17111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指导教师</w:t>
            </w:r>
          </w:p>
        </w:tc>
        <w:tc>
          <w:tcPr>
            <w:tcW w:w="1020" w:type="dxa"/>
            <w:shd w:val="clear" w:color="auto" w:fill="F6F9FC"/>
            <w:vAlign w:val="center"/>
          </w:tcPr>
          <w:p w14:paraId="1FCB55F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曾志新</w:t>
            </w:r>
          </w:p>
        </w:tc>
        <w:tc>
          <w:tcPr>
            <w:tcW w:w="6009" w:type="dxa"/>
            <w:shd w:val="clear" w:color="auto" w:fill="F6F9FC"/>
            <w:vAlign w:val="center"/>
          </w:tcPr>
          <w:p w14:paraId="4B43EF3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评审高风险项与研究核心相关风险（R-04 等）；对进度裁剪、方案降级等重大权衡做方向裁决；提供技术与资源咨询</w:t>
            </w:r>
          </w:p>
        </w:tc>
      </w:tr>
      <w:tr w14:paraId="37AAF2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50" w:type="dxa"/>
            <w:bottom w:w="70" w:type="dxa"/>
            <w:right w:w="150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95E42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评审机制</w:t>
            </w:r>
          </w:p>
        </w:tc>
        <w:tc>
          <w:tcPr>
            <w:tcW w:w="1020" w:type="dxa"/>
            <w:vAlign w:val="center"/>
          </w:tcPr>
          <w:p w14:paraId="463EC85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6009" w:type="dxa"/>
            <w:vAlign w:val="center"/>
          </w:tcPr>
          <w:p w14:paraId="234ED8B1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每周周报固定检查“风险状态”小节；里程碑节点（M1–M9）进行专项风险评审并决定是否进入下一阶段</w:t>
            </w:r>
          </w:p>
        </w:tc>
      </w:tr>
    </w:tbl>
    <w:p w14:paraId="4AB445C9">
      <w:pPr>
        <w:pBdr>
          <w:bottom w:val="single" w:color="2E74B5" w:sz="12" w:space="3"/>
        </w:pBdr>
        <w:spacing w:before="320" w:after="120"/>
      </w:pPr>
      <w:r>
        <w:rPr>
          <w:rFonts w:ascii="微软雅黑" w:hAnsi="微软雅黑" w:eastAsia="微软雅黑"/>
          <w:b/>
          <w:color w:val="1F3864"/>
          <w:sz w:val="30"/>
        </w:rPr>
        <w:t>三  风险管理流程</w:t>
      </w:r>
    </w:p>
    <w:p w14:paraId="75FB4B2D">
      <w:pPr>
        <w:spacing w:after="120"/>
        <w:ind w:firstLine="420"/>
      </w:pPr>
      <w:r>
        <w:rPr>
          <w:rFonts w:ascii="微软雅黑" w:hAnsi="微软雅黑" w:eastAsia="微软雅黑"/>
          <w:b w:val="0"/>
          <w:sz w:val="21"/>
        </w:rPr>
        <w:t>项目采用五阶段闭环流程，覆盖从识别到闭环的全过程，并与周报、里程碑评审节奏绑定：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1134"/>
        <w:gridCol w:w="3061"/>
        <w:gridCol w:w="2835"/>
        <w:gridCol w:w="1701"/>
      </w:tblGrid>
      <w:tr w14:paraId="5C16FD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1134" w:type="dxa"/>
            <w:shd w:val="clear" w:color="auto" w:fill="1F3864"/>
            <w:vAlign w:val="center"/>
          </w:tcPr>
          <w:p w14:paraId="593748E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w="3061" w:type="dxa"/>
            <w:shd w:val="clear" w:color="auto" w:fill="1F3864"/>
            <w:vAlign w:val="center"/>
          </w:tcPr>
          <w:p w14:paraId="75CC3F1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活动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287E457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 / 输出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30AB9A3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频率 / 时点</w:t>
            </w:r>
          </w:p>
        </w:tc>
      </w:tr>
      <w:tr w14:paraId="6728C8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DB526C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① 风险识别</w:t>
            </w:r>
          </w:p>
        </w:tc>
        <w:tc>
          <w:tcPr>
            <w:tcW w:w="3061" w:type="dxa"/>
            <w:vAlign w:val="center"/>
          </w:tcPr>
          <w:p w14:paraId="588324B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对照 SRS 功能/非功能需求、WBS 任务依赖、技术选型假设，按技术、进度、质量、安全、研究、环境、管理七类枚举风险</w:t>
            </w:r>
          </w:p>
        </w:tc>
        <w:tc>
          <w:tcPr>
            <w:tcW w:w="2835" w:type="dxa"/>
            <w:vAlign w:val="center"/>
          </w:tcPr>
          <w:p w14:paraId="32E44C1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SRS V4、WBS、周报 → 风险登记册新增条目</w:t>
            </w:r>
          </w:p>
        </w:tc>
        <w:tc>
          <w:tcPr>
            <w:tcW w:w="1701" w:type="dxa"/>
            <w:vAlign w:val="center"/>
          </w:tcPr>
          <w:p w14:paraId="2E0C918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计划期集中识别；每周增补</w:t>
            </w:r>
          </w:p>
        </w:tc>
      </w:tr>
      <w:tr w14:paraId="71143E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1134" w:type="dxa"/>
            <w:shd w:val="clear" w:color="auto" w:fill="F6F9FC"/>
            <w:vAlign w:val="center"/>
          </w:tcPr>
          <w:p w14:paraId="7EE6D97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② 风险评估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64AA4D30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按第四章标准打分：风险值 = 概率 P × 影响 I（各 1–5 级），确定高/中/低等级</w:t>
            </w:r>
          </w:p>
        </w:tc>
        <w:tc>
          <w:tcPr>
            <w:tcW w:w="2835" w:type="dxa"/>
            <w:shd w:val="clear" w:color="auto" w:fill="F6F9FC"/>
            <w:vAlign w:val="center"/>
          </w:tcPr>
          <w:p w14:paraId="26B9041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风险描述 → P、I、等级、近因与征兆</w:t>
            </w:r>
          </w:p>
        </w:tc>
        <w:tc>
          <w:tcPr>
            <w:tcW w:w="1701" w:type="dxa"/>
            <w:shd w:val="clear" w:color="auto" w:fill="F6F9FC"/>
            <w:vAlign w:val="center"/>
          </w:tcPr>
          <w:p w14:paraId="0F4B84F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识别即评估；状态变化时重评</w:t>
            </w:r>
          </w:p>
        </w:tc>
      </w:tr>
      <w:tr w14:paraId="39F523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28B8A4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③ 应对规划</w:t>
            </w:r>
          </w:p>
        </w:tc>
        <w:tc>
          <w:tcPr>
            <w:tcW w:w="3061" w:type="dxa"/>
            <w:vAlign w:val="center"/>
          </w:tcPr>
          <w:p w14:paraId="5FAE60A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从规避 / 减轻 / 转移 / 接受四种策略中择策；编写预防措施、应急计划、触发指标与关闭标准</w:t>
            </w:r>
          </w:p>
        </w:tc>
        <w:tc>
          <w:tcPr>
            <w:tcW w:w="2835" w:type="dxa"/>
            <w:vAlign w:val="center"/>
          </w:tcPr>
          <w:p w14:paraId="0014819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等级 → 应对策略 + 预案 + 责任人</w:t>
            </w:r>
          </w:p>
        </w:tc>
        <w:tc>
          <w:tcPr>
            <w:tcW w:w="1701" w:type="dxa"/>
            <w:vAlign w:val="center"/>
          </w:tcPr>
          <w:p w14:paraId="346C798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评估后 2 日内</w:t>
            </w:r>
          </w:p>
        </w:tc>
      </w:tr>
      <w:tr w14:paraId="59D4C7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1134" w:type="dxa"/>
            <w:shd w:val="clear" w:color="auto" w:fill="F6F9FC"/>
            <w:vAlign w:val="center"/>
          </w:tcPr>
          <w:p w14:paraId="00614F3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④ 风险监控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7FE89D8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跟踪触发指标与任务进展；中风险周查、高风险每三天关注；检查缓冲消耗</w:t>
            </w:r>
          </w:p>
        </w:tc>
        <w:tc>
          <w:tcPr>
            <w:tcW w:w="2835" w:type="dxa"/>
            <w:shd w:val="clear" w:color="auto" w:fill="F6F9FC"/>
            <w:vAlign w:val="center"/>
          </w:tcPr>
          <w:p w14:paraId="3BF08D1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指标数据 → 登记册状态更新</w:t>
            </w:r>
          </w:p>
        </w:tc>
        <w:tc>
          <w:tcPr>
            <w:tcW w:w="1701" w:type="dxa"/>
            <w:shd w:val="clear" w:color="auto" w:fill="F6F9FC"/>
            <w:vAlign w:val="center"/>
          </w:tcPr>
          <w:p w14:paraId="5E5ACC4E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持续；周报固定复盘</w:t>
            </w:r>
          </w:p>
        </w:tc>
      </w:tr>
      <w:tr w14:paraId="1BEDE1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C07F1E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⑤ 响应与闭环</w:t>
            </w:r>
          </w:p>
        </w:tc>
        <w:tc>
          <w:tcPr>
            <w:tcW w:w="3061" w:type="dxa"/>
            <w:vAlign w:val="center"/>
          </w:tcPr>
          <w:p w14:paraId="6AFF6A5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风险触发即执行应急预案；高风险同步上报导师；处置后验证效果、归档经验并关闭条目</w:t>
            </w:r>
          </w:p>
        </w:tc>
        <w:tc>
          <w:tcPr>
            <w:tcW w:w="2835" w:type="dxa"/>
            <w:vAlign w:val="center"/>
          </w:tcPr>
          <w:p w14:paraId="0AE8F46A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触发事件 → 应急记录 → 闭环结论</w:t>
            </w:r>
          </w:p>
        </w:tc>
        <w:tc>
          <w:tcPr>
            <w:tcW w:w="1701" w:type="dxa"/>
            <w:vAlign w:val="center"/>
          </w:tcPr>
          <w:p w14:paraId="519043B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触发即启动</w:t>
            </w:r>
          </w:p>
        </w:tc>
      </w:tr>
    </w:tbl>
    <w:p w14:paraId="3C6D3A9C">
      <w:pPr>
        <w:spacing w:after="80"/>
        <w:ind w:firstLine="420"/>
      </w:pPr>
      <w:r>
        <w:rPr>
          <w:rFonts w:ascii="微软雅黑" w:hAnsi="微软雅黑" w:eastAsia="微软雅黑"/>
          <w:b w:val="0"/>
          <w:sz w:val="19"/>
        </w:rPr>
        <w:t>应对策略定义：规避＝改变方案使其不发生（如调整范围、更换技术）；减轻＝降低概率或影响（本项目主要策略）；转移＝将影响交由外部承担（本项目仅适用于选择成熟框架/库）；接受＝对低风险或无更优手段者预留储备、自行承担。</w:t>
      </w:r>
    </w:p>
    <w:p w14:paraId="3E6AD15D">
      <w:pPr>
        <w:pBdr>
          <w:bottom w:val="single" w:color="2E74B5" w:sz="12" w:space="3"/>
        </w:pBdr>
        <w:spacing w:before="320" w:after="120"/>
      </w:pPr>
      <w:r>
        <w:rPr>
          <w:rFonts w:ascii="微软雅黑" w:hAnsi="微软雅黑" w:eastAsia="微软雅黑"/>
          <w:b/>
          <w:color w:val="1F3864"/>
          <w:sz w:val="30"/>
        </w:rPr>
        <w:t>四  风险评估标准</w:t>
      </w:r>
    </w:p>
    <w:p w14:paraId="4729C716">
      <w:pPr>
        <w:spacing w:before="200" w:after="80"/>
      </w:pPr>
      <w:r>
        <w:rPr>
          <w:rFonts w:ascii="微软雅黑" w:hAnsi="微软雅黑" w:eastAsia="微软雅黑"/>
          <w:b/>
          <w:color w:val="2E74B5"/>
          <w:sz w:val="24"/>
        </w:rPr>
        <w:t>▍4.1 概率分级（P）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907"/>
        <w:gridCol w:w="1474"/>
        <w:gridCol w:w="1360"/>
        <w:gridCol w:w="4989"/>
      </w:tblGrid>
      <w:tr w14:paraId="25F76F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1F3864"/>
            <w:vAlign w:val="center"/>
          </w:tcPr>
          <w:p w14:paraId="72AA53D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w="1474" w:type="dxa"/>
            <w:shd w:val="clear" w:color="auto" w:fill="1F3864"/>
            <w:vAlign w:val="center"/>
          </w:tcPr>
          <w:p w14:paraId="3BD4014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定性描述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0487710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参考概率</w:t>
            </w:r>
          </w:p>
        </w:tc>
        <w:tc>
          <w:tcPr>
            <w:tcW w:w="4989" w:type="dxa"/>
            <w:shd w:val="clear" w:color="auto" w:fill="1F3864"/>
            <w:vAlign w:val="center"/>
          </w:tcPr>
          <w:p w14:paraId="055EED8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本项目判据示例</w:t>
            </w:r>
          </w:p>
        </w:tc>
      </w:tr>
      <w:tr w14:paraId="78CB69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EAF1F8"/>
            <w:vAlign w:val="center"/>
          </w:tcPr>
          <w:p w14:paraId="40E34FC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5</w:t>
            </w:r>
          </w:p>
        </w:tc>
        <w:tc>
          <w:tcPr>
            <w:tcW w:w="1474" w:type="dxa"/>
            <w:vAlign w:val="center"/>
          </w:tcPr>
          <w:p w14:paraId="1CEF25A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几乎必然</w:t>
            </w:r>
          </w:p>
        </w:tc>
        <w:tc>
          <w:tcPr>
            <w:tcW w:w="1361" w:type="dxa"/>
            <w:vAlign w:val="center"/>
          </w:tcPr>
          <w:p w14:paraId="407C3A3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≥80%</w:t>
            </w:r>
          </w:p>
        </w:tc>
        <w:tc>
          <w:tcPr>
            <w:tcW w:w="4989" w:type="dxa"/>
            <w:vAlign w:val="center"/>
          </w:tcPr>
          <w:p w14:paraId="6518F88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单人承担、历史项目同类问题反复出现</w:t>
            </w:r>
          </w:p>
        </w:tc>
      </w:tr>
      <w:tr w14:paraId="05AE75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EAF1F8"/>
            <w:vAlign w:val="center"/>
          </w:tcPr>
          <w:p w14:paraId="43F44AD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4</w:t>
            </w:r>
          </w:p>
        </w:tc>
        <w:tc>
          <w:tcPr>
            <w:tcW w:w="1474" w:type="dxa"/>
            <w:shd w:val="clear" w:color="auto" w:fill="F6F9FC"/>
            <w:vAlign w:val="center"/>
          </w:tcPr>
          <w:p w14:paraId="20879002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很可能</w:t>
            </w:r>
          </w:p>
        </w:tc>
        <w:tc>
          <w:tcPr>
            <w:tcW w:w="1361" w:type="dxa"/>
            <w:shd w:val="clear" w:color="auto" w:fill="F6F9FC"/>
            <w:vAlign w:val="center"/>
          </w:tcPr>
          <w:p w14:paraId="72AF013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60%–80%</w:t>
            </w:r>
          </w:p>
        </w:tc>
        <w:tc>
          <w:tcPr>
            <w:tcW w:w="4989" w:type="dxa"/>
            <w:shd w:val="clear" w:color="auto" w:fill="F6F9FC"/>
            <w:vAlign w:val="center"/>
          </w:tcPr>
          <w:p w14:paraId="1C95492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依赖不成熟能力或外部不稳定服务，无现成实践</w:t>
            </w:r>
          </w:p>
        </w:tc>
      </w:tr>
      <w:tr w14:paraId="2E21CD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EAF1F8"/>
            <w:vAlign w:val="center"/>
          </w:tcPr>
          <w:p w14:paraId="764F59B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3</w:t>
            </w:r>
          </w:p>
        </w:tc>
        <w:tc>
          <w:tcPr>
            <w:tcW w:w="1474" w:type="dxa"/>
            <w:vAlign w:val="center"/>
          </w:tcPr>
          <w:p w14:paraId="2AA6173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可能</w:t>
            </w:r>
          </w:p>
        </w:tc>
        <w:tc>
          <w:tcPr>
            <w:tcW w:w="1361" w:type="dxa"/>
            <w:vAlign w:val="center"/>
          </w:tcPr>
          <w:p w14:paraId="1E9E31C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30%–60%</w:t>
            </w:r>
          </w:p>
        </w:tc>
        <w:tc>
          <w:tcPr>
            <w:tcW w:w="4989" w:type="dxa"/>
            <w:vAlign w:val="center"/>
          </w:tcPr>
          <w:p w14:paraId="4078749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技术可行但复杂度较高、首次实现</w:t>
            </w:r>
          </w:p>
        </w:tc>
      </w:tr>
      <w:tr w14:paraId="1A48D4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EAF1F8"/>
            <w:vAlign w:val="center"/>
          </w:tcPr>
          <w:p w14:paraId="5B8E36C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2</w:t>
            </w:r>
          </w:p>
        </w:tc>
        <w:tc>
          <w:tcPr>
            <w:tcW w:w="1474" w:type="dxa"/>
            <w:shd w:val="clear" w:color="auto" w:fill="F6F9FC"/>
            <w:vAlign w:val="center"/>
          </w:tcPr>
          <w:p w14:paraId="501DC3D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不太可能</w:t>
            </w:r>
          </w:p>
        </w:tc>
        <w:tc>
          <w:tcPr>
            <w:tcW w:w="1361" w:type="dxa"/>
            <w:shd w:val="clear" w:color="auto" w:fill="F6F9FC"/>
            <w:vAlign w:val="center"/>
          </w:tcPr>
          <w:p w14:paraId="49902D2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10%–30%</w:t>
            </w:r>
          </w:p>
        </w:tc>
        <w:tc>
          <w:tcPr>
            <w:tcW w:w="4989" w:type="dxa"/>
            <w:shd w:val="clear" w:color="auto" w:fill="F6F9FC"/>
            <w:vAlign w:val="center"/>
          </w:tcPr>
          <w:p w14:paraId="5A749DEE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有成熟方案或已做预研，仅剩执行偏差</w:t>
            </w:r>
          </w:p>
        </w:tc>
      </w:tr>
      <w:tr w14:paraId="399872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EAF1F8"/>
            <w:vAlign w:val="center"/>
          </w:tcPr>
          <w:p w14:paraId="0B6A629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1</w:t>
            </w:r>
          </w:p>
        </w:tc>
        <w:tc>
          <w:tcPr>
            <w:tcW w:w="1474" w:type="dxa"/>
            <w:vAlign w:val="center"/>
          </w:tcPr>
          <w:p w14:paraId="7F51700D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罕见</w:t>
            </w:r>
          </w:p>
        </w:tc>
        <w:tc>
          <w:tcPr>
            <w:tcW w:w="1361" w:type="dxa"/>
            <w:vAlign w:val="center"/>
          </w:tcPr>
          <w:p w14:paraId="734C57D0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&lt;10%</w:t>
            </w:r>
          </w:p>
        </w:tc>
        <w:tc>
          <w:tcPr>
            <w:tcW w:w="4989" w:type="dxa"/>
            <w:vAlign w:val="center"/>
          </w:tcPr>
          <w:p w14:paraId="654FBFB0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常规工程问题，工具链完善</w:t>
            </w:r>
          </w:p>
        </w:tc>
      </w:tr>
    </w:tbl>
    <w:p w14:paraId="45067B8A">
      <w:pPr>
        <w:spacing w:before="200" w:after="80"/>
      </w:pPr>
      <w:r>
        <w:rPr>
          <w:rFonts w:ascii="微软雅黑" w:hAnsi="微软雅黑" w:eastAsia="微软雅黑"/>
          <w:b/>
          <w:color w:val="2E74B5"/>
          <w:sz w:val="24"/>
        </w:rPr>
        <w:t>▍4.2 影响分级（I）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907"/>
        <w:gridCol w:w="2381"/>
        <w:gridCol w:w="2835"/>
        <w:gridCol w:w="2608"/>
      </w:tblGrid>
      <w:tr w14:paraId="505332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1F3864"/>
            <w:vAlign w:val="center"/>
          </w:tcPr>
          <w:p w14:paraId="5AB3638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4F8DB9C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进度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5F3903C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质量 / 验收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08E25C2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演示与研究目标</w:t>
            </w:r>
          </w:p>
        </w:tc>
      </w:tr>
      <w:tr w14:paraId="4EE272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EAF1F8"/>
            <w:vAlign w:val="center"/>
          </w:tcPr>
          <w:p w14:paraId="2FF2225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5</w:t>
            </w:r>
          </w:p>
        </w:tc>
        <w:tc>
          <w:tcPr>
            <w:tcW w:w="2381" w:type="dxa"/>
            <w:vAlign w:val="center"/>
          </w:tcPr>
          <w:p w14:paraId="37475352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关键路径延期 &gt;5 天</w:t>
            </w:r>
          </w:p>
        </w:tc>
        <w:tc>
          <w:tcPr>
            <w:tcW w:w="2835" w:type="dxa"/>
            <w:vAlign w:val="center"/>
          </w:tcPr>
          <w:p w14:paraId="2B968EFA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AC 验收不通过 / P0 范围缺失</w:t>
            </w:r>
          </w:p>
        </w:tc>
        <w:tc>
          <w:tcPr>
            <w:tcW w:w="2608" w:type="dxa"/>
            <w:vAlign w:val="center"/>
          </w:tcPr>
          <w:p w14:paraId="6D908A1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现场无法演示或研究核心结论不成立</w:t>
            </w:r>
          </w:p>
        </w:tc>
      </w:tr>
      <w:tr w14:paraId="1C7D9B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EAF1F8"/>
            <w:vAlign w:val="center"/>
          </w:tcPr>
          <w:p w14:paraId="1820CFF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4</w:t>
            </w:r>
          </w:p>
        </w:tc>
        <w:tc>
          <w:tcPr>
            <w:tcW w:w="2381" w:type="dxa"/>
            <w:shd w:val="clear" w:color="auto" w:fill="F6F9FC"/>
            <w:vAlign w:val="center"/>
          </w:tcPr>
          <w:p w14:paraId="1B6529E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延期 3–5 天</w:t>
            </w:r>
          </w:p>
        </w:tc>
        <w:tc>
          <w:tcPr>
            <w:tcW w:w="2835" w:type="dxa"/>
            <w:shd w:val="clear" w:color="auto" w:fill="F6F9FC"/>
            <w:vAlign w:val="center"/>
          </w:tcPr>
          <w:p w14:paraId="46D7F17A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关键 rubric 评分 &lt;4</w:t>
            </w:r>
          </w:p>
        </w:tc>
        <w:tc>
          <w:tcPr>
            <w:tcW w:w="2608" w:type="dxa"/>
            <w:shd w:val="clear" w:color="auto" w:fill="F6F9FC"/>
            <w:vAlign w:val="center"/>
          </w:tcPr>
          <w:p w14:paraId="7A3C18A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核心剧本失败、需大幅临场解释</w:t>
            </w:r>
          </w:p>
        </w:tc>
      </w:tr>
      <w:tr w14:paraId="6EBA81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EAF1F8"/>
            <w:vAlign w:val="center"/>
          </w:tcPr>
          <w:p w14:paraId="4AB2FC1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3</w:t>
            </w:r>
          </w:p>
        </w:tc>
        <w:tc>
          <w:tcPr>
            <w:tcW w:w="2381" w:type="dxa"/>
            <w:vAlign w:val="center"/>
          </w:tcPr>
          <w:p w14:paraId="3217196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延期 1–3 天</w:t>
            </w:r>
          </w:p>
        </w:tc>
        <w:tc>
          <w:tcPr>
            <w:tcW w:w="2835" w:type="dxa"/>
            <w:vAlign w:val="center"/>
          </w:tcPr>
          <w:p w14:paraId="4BD582DD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非关键功能缺陷，可绕行</w:t>
            </w:r>
          </w:p>
        </w:tc>
        <w:tc>
          <w:tcPr>
            <w:tcW w:w="2608" w:type="dxa"/>
            <w:vAlign w:val="center"/>
          </w:tcPr>
          <w:p w14:paraId="1B632C0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部分 P1 效果受损</w:t>
            </w:r>
          </w:p>
        </w:tc>
      </w:tr>
      <w:tr w14:paraId="094FC6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EAF1F8"/>
            <w:vAlign w:val="center"/>
          </w:tcPr>
          <w:p w14:paraId="03FE09F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2</w:t>
            </w:r>
          </w:p>
        </w:tc>
        <w:tc>
          <w:tcPr>
            <w:tcW w:w="2381" w:type="dxa"/>
            <w:shd w:val="clear" w:color="auto" w:fill="F6F9FC"/>
            <w:vAlign w:val="center"/>
          </w:tcPr>
          <w:p w14:paraId="4A6598D8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延期 &lt;1 天</w:t>
            </w:r>
          </w:p>
        </w:tc>
        <w:tc>
          <w:tcPr>
            <w:tcW w:w="2835" w:type="dxa"/>
            <w:shd w:val="clear" w:color="auto" w:fill="F6F9FC"/>
            <w:vAlign w:val="center"/>
          </w:tcPr>
          <w:p w14:paraId="11B7DD1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表面缺陷，不影响功能</w:t>
            </w:r>
          </w:p>
        </w:tc>
        <w:tc>
          <w:tcPr>
            <w:tcW w:w="2608" w:type="dxa"/>
            <w:shd w:val="clear" w:color="auto" w:fill="F6F9FC"/>
            <w:vAlign w:val="center"/>
          </w:tcPr>
          <w:p w14:paraId="19A3AAF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素材/体验小瑕疵</w:t>
            </w:r>
          </w:p>
        </w:tc>
      </w:tr>
      <w:tr w14:paraId="4C6B24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40" w:type="dxa"/>
            <w:bottom w:w="70" w:type="dxa"/>
            <w:right w:w="140" w:type="dxa"/>
          </w:tblCellMar>
        </w:tblPrEx>
        <w:trPr>
          <w:jc w:val="center"/>
        </w:trPr>
        <w:tc>
          <w:tcPr>
            <w:tcW w:w="907" w:type="dxa"/>
            <w:shd w:val="clear" w:color="auto" w:fill="EAF1F8"/>
            <w:vAlign w:val="center"/>
          </w:tcPr>
          <w:p w14:paraId="60264DF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1</w:t>
            </w:r>
          </w:p>
        </w:tc>
        <w:tc>
          <w:tcPr>
            <w:tcW w:w="2381" w:type="dxa"/>
            <w:vAlign w:val="center"/>
          </w:tcPr>
          <w:p w14:paraId="01EF8D52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无影响</w:t>
            </w:r>
          </w:p>
        </w:tc>
        <w:tc>
          <w:tcPr>
            <w:tcW w:w="2835" w:type="dxa"/>
            <w:vAlign w:val="center"/>
          </w:tcPr>
          <w:p w14:paraId="3F672481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当天可修复</w:t>
            </w:r>
          </w:p>
        </w:tc>
        <w:tc>
          <w:tcPr>
            <w:tcW w:w="2608" w:type="dxa"/>
            <w:vAlign w:val="center"/>
          </w:tcPr>
          <w:p w14:paraId="21F6FAB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几乎不可感知</w:t>
            </w:r>
          </w:p>
        </w:tc>
      </w:tr>
    </w:tbl>
    <w:p w14:paraId="36CD0FE1">
      <w:pPr>
        <w:spacing w:before="200" w:after="80"/>
      </w:pPr>
      <w:r>
        <w:rPr>
          <w:rFonts w:ascii="微软雅黑" w:hAnsi="微软雅黑" w:eastAsia="微软雅黑"/>
          <w:b/>
          <w:color w:val="2E74B5"/>
          <w:sz w:val="24"/>
        </w:rPr>
        <w:t>▍4.3 风险矩阵与响应级别（R = P × I）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14"/>
        <w:gridCol w:w="1360"/>
        <w:gridCol w:w="1360"/>
        <w:gridCol w:w="1360"/>
        <w:gridCol w:w="1360"/>
        <w:gridCol w:w="1360"/>
      </w:tblGrid>
      <w:tr w14:paraId="2A0DDE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  <w:vAlign w:val="center"/>
          </w:tcPr>
          <w:p w14:paraId="13DC341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 I ＼ 概率 P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3AD7CFE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P=1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5B79070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P=2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3BC8D5D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P=3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510B44C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P=4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060BC7F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P=5</w:t>
            </w:r>
          </w:p>
        </w:tc>
      </w:tr>
      <w:tr w14:paraId="0C619F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  <w:vAlign w:val="center"/>
          </w:tcPr>
          <w:p w14:paraId="189E9CA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I=5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4658155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5</w:t>
            </w:r>
          </w:p>
          <w:p w14:paraId="27274D1E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7E1FB79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10</w:t>
            </w:r>
          </w:p>
          <w:p w14:paraId="63C8DF74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中</w:t>
            </w:r>
          </w:p>
        </w:tc>
        <w:tc>
          <w:tcPr>
            <w:tcW w:w="1361" w:type="dxa"/>
            <w:shd w:val="clear" w:color="auto" w:fill="F4CCCC"/>
            <w:vAlign w:val="center"/>
          </w:tcPr>
          <w:p w14:paraId="09FA0DE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15</w:t>
            </w:r>
          </w:p>
          <w:p w14:paraId="5C441BA6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高</w:t>
            </w:r>
          </w:p>
        </w:tc>
        <w:tc>
          <w:tcPr>
            <w:tcW w:w="1361" w:type="dxa"/>
            <w:shd w:val="clear" w:color="auto" w:fill="F4CCCC"/>
            <w:vAlign w:val="center"/>
          </w:tcPr>
          <w:p w14:paraId="313662C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20</w:t>
            </w:r>
          </w:p>
          <w:p w14:paraId="7FBFCA53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高</w:t>
            </w:r>
          </w:p>
        </w:tc>
        <w:tc>
          <w:tcPr>
            <w:tcW w:w="1361" w:type="dxa"/>
            <w:shd w:val="clear" w:color="auto" w:fill="F4CCCC"/>
            <w:vAlign w:val="center"/>
          </w:tcPr>
          <w:p w14:paraId="7EDD90B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25</w:t>
            </w:r>
          </w:p>
          <w:p w14:paraId="03D9A08D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高</w:t>
            </w:r>
          </w:p>
        </w:tc>
      </w:tr>
      <w:tr w14:paraId="463BC2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  <w:vAlign w:val="center"/>
          </w:tcPr>
          <w:p w14:paraId="05A781E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I=4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675C18D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4</w:t>
            </w:r>
          </w:p>
          <w:p w14:paraId="5A928E1D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200F116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8</w:t>
            </w:r>
          </w:p>
          <w:p w14:paraId="646A179C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中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4BF2B25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12</w:t>
            </w:r>
          </w:p>
          <w:p w14:paraId="143B6D80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中</w:t>
            </w:r>
          </w:p>
        </w:tc>
        <w:tc>
          <w:tcPr>
            <w:tcW w:w="1361" w:type="dxa"/>
            <w:shd w:val="clear" w:color="auto" w:fill="F4CCCC"/>
            <w:vAlign w:val="center"/>
          </w:tcPr>
          <w:p w14:paraId="692B33D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16</w:t>
            </w:r>
          </w:p>
          <w:p w14:paraId="13927598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高</w:t>
            </w:r>
          </w:p>
        </w:tc>
        <w:tc>
          <w:tcPr>
            <w:tcW w:w="1361" w:type="dxa"/>
            <w:shd w:val="clear" w:color="auto" w:fill="F4CCCC"/>
            <w:vAlign w:val="center"/>
          </w:tcPr>
          <w:p w14:paraId="080B964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20</w:t>
            </w:r>
          </w:p>
          <w:p w14:paraId="3020BFE9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高</w:t>
            </w:r>
          </w:p>
        </w:tc>
      </w:tr>
      <w:tr w14:paraId="7C00FC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  <w:vAlign w:val="center"/>
          </w:tcPr>
          <w:p w14:paraId="10EF0C9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I=3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699514B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3</w:t>
            </w:r>
          </w:p>
          <w:p w14:paraId="468A6199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7B9FB14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6</w:t>
            </w:r>
          </w:p>
          <w:p w14:paraId="71737484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5386DA9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9</w:t>
            </w:r>
          </w:p>
          <w:p w14:paraId="7B6DF11C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中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1143F63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12</w:t>
            </w:r>
          </w:p>
          <w:p w14:paraId="25B94D92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中</w:t>
            </w:r>
          </w:p>
        </w:tc>
        <w:tc>
          <w:tcPr>
            <w:tcW w:w="1361" w:type="dxa"/>
            <w:shd w:val="clear" w:color="auto" w:fill="F4CCCC"/>
            <w:vAlign w:val="center"/>
          </w:tcPr>
          <w:p w14:paraId="1676913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15</w:t>
            </w:r>
          </w:p>
          <w:p w14:paraId="3BB80416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9"/>
              </w:rPr>
              <w:t>高</w:t>
            </w:r>
          </w:p>
        </w:tc>
      </w:tr>
      <w:tr w14:paraId="292A13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  <w:vAlign w:val="center"/>
          </w:tcPr>
          <w:p w14:paraId="61869F0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I=2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6395281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2</w:t>
            </w:r>
          </w:p>
          <w:p w14:paraId="6F6D42EA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03EEADE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4</w:t>
            </w:r>
          </w:p>
          <w:p w14:paraId="3FC81220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7144E98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6</w:t>
            </w:r>
          </w:p>
          <w:p w14:paraId="26443ED0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7815801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8</w:t>
            </w:r>
          </w:p>
          <w:p w14:paraId="601F8D06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中</w:t>
            </w:r>
          </w:p>
        </w:tc>
        <w:tc>
          <w:tcPr>
            <w:tcW w:w="1361" w:type="dxa"/>
            <w:shd w:val="clear" w:color="auto" w:fill="FFF2CC"/>
            <w:vAlign w:val="center"/>
          </w:tcPr>
          <w:p w14:paraId="5478E8F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10</w:t>
            </w:r>
          </w:p>
          <w:p w14:paraId="5DAEACBE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9"/>
              </w:rPr>
              <w:t>中</w:t>
            </w:r>
          </w:p>
        </w:tc>
      </w:tr>
      <w:tr w14:paraId="0E3346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814" w:type="dxa"/>
            <w:shd w:val="clear" w:color="auto" w:fill="1F3864"/>
            <w:vAlign w:val="center"/>
          </w:tcPr>
          <w:p w14:paraId="4A25C49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I=1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6988558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1</w:t>
            </w:r>
          </w:p>
          <w:p w14:paraId="7465A190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70B8658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2</w:t>
            </w:r>
          </w:p>
          <w:p w14:paraId="486C62CC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03DBAA3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3</w:t>
            </w:r>
          </w:p>
          <w:p w14:paraId="1C940D9D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03B465F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4</w:t>
            </w:r>
          </w:p>
          <w:p w14:paraId="1CB45682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  <w:tc>
          <w:tcPr>
            <w:tcW w:w="1361" w:type="dxa"/>
            <w:shd w:val="clear" w:color="auto" w:fill="D9EAD3"/>
            <w:vAlign w:val="center"/>
          </w:tcPr>
          <w:p w14:paraId="38A8B61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5</w:t>
            </w:r>
          </w:p>
          <w:p w14:paraId="62930AE1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9"/>
              </w:rPr>
              <w:t>低</w:t>
            </w:r>
          </w:p>
        </w:tc>
      </w:tr>
    </w:tbl>
    <w:p w14:paraId="5FE6A7A3">
      <w:pPr>
        <w:spacing w:after="80"/>
        <w:ind w:firstLine="420"/>
      </w:pPr>
      <w:r>
        <w:rPr>
          <w:rFonts w:ascii="微软雅黑" w:hAnsi="微软雅黑" w:eastAsia="微软雅黑"/>
          <w:b w:val="0"/>
          <w:sz w:val="19"/>
        </w:rPr>
        <w:t>分级与响应要求：低风险（1–6）＝接受，登记并周度观察；中风险（7–14）＝主动减轻，须有明确预防措施与责任人，周度检查；高风险（15–25）＝重点管控，须同时具备预防措施与应急预案，每三天检查一次并在最近一次周报向指导教师专题报告。</w:t>
      </w:r>
    </w:p>
    <w:p w14:paraId="0D2CEFCB">
      <w:r>
        <w:br w:type="page"/>
      </w:r>
    </w:p>
    <w:p w14:paraId="05F2408E">
      <w:pPr>
        <w:pBdr>
          <w:bottom w:val="single" w:color="2E74B5" w:sz="12" w:space="3"/>
        </w:pBdr>
        <w:spacing w:before="320" w:after="120"/>
      </w:pPr>
      <w:r>
        <w:rPr>
          <w:rFonts w:ascii="微软雅黑" w:hAnsi="微软雅黑" w:eastAsia="微软雅黑"/>
          <w:b/>
          <w:color w:val="1F3864"/>
          <w:sz w:val="30"/>
        </w:rPr>
        <w:t>五  风险登记册（共 18 项）</w:t>
      </w:r>
    </w:p>
    <w:p w14:paraId="1304E1BB">
      <w:pPr>
        <w:spacing w:after="120"/>
        <w:ind w:firstLine="420"/>
      </w:pPr>
      <w:r>
        <w:rPr>
          <w:rFonts w:ascii="微软雅黑" w:hAnsi="微软雅黑" w:eastAsia="微软雅黑"/>
          <w:b w:val="0"/>
          <w:sz w:val="19"/>
        </w:rPr>
        <w:t>风险编号规则 R-XX；“关联”列引用 SRS 的 FR/NFR/AC 编号与 WBS 任务号；等级颜色：红＝高、黄＝中、绿＝低。风险值截至 2026-10-13 的事前评估，将在每周复盘中动态更新。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623"/>
        <w:gridCol w:w="737"/>
        <w:gridCol w:w="2268"/>
        <w:gridCol w:w="396"/>
        <w:gridCol w:w="396"/>
        <w:gridCol w:w="510"/>
        <w:gridCol w:w="623"/>
        <w:gridCol w:w="3061"/>
        <w:gridCol w:w="1247"/>
      </w:tblGrid>
      <w:tr w14:paraId="1E7792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shd w:val="clear" w:color="auto" w:fill="1F3864"/>
            <w:vAlign w:val="center"/>
          </w:tcPr>
          <w:p w14:paraId="4BFCB4B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737" w:type="dxa"/>
            <w:shd w:val="clear" w:color="auto" w:fill="1F3864"/>
            <w:vAlign w:val="center"/>
          </w:tcPr>
          <w:p w14:paraId="5AC80E2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1F093BE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风险描述（含关联项）</w:t>
            </w:r>
          </w:p>
        </w:tc>
        <w:tc>
          <w:tcPr>
            <w:tcW w:w="397" w:type="dxa"/>
            <w:shd w:val="clear" w:color="auto" w:fill="1F3864"/>
            <w:vAlign w:val="center"/>
          </w:tcPr>
          <w:p w14:paraId="6452DCB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</w:t>
            </w:r>
          </w:p>
        </w:tc>
        <w:tc>
          <w:tcPr>
            <w:tcW w:w="397" w:type="dxa"/>
            <w:shd w:val="clear" w:color="auto" w:fill="1F3864"/>
            <w:vAlign w:val="center"/>
          </w:tcPr>
          <w:p w14:paraId="22B4D0A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</w:t>
            </w:r>
          </w:p>
        </w:tc>
        <w:tc>
          <w:tcPr>
            <w:tcW w:w="510" w:type="dxa"/>
            <w:shd w:val="clear" w:color="auto" w:fill="1F3864"/>
            <w:vAlign w:val="center"/>
          </w:tcPr>
          <w:p w14:paraId="17D52FC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w="624" w:type="dxa"/>
            <w:shd w:val="clear" w:color="auto" w:fill="1F3864"/>
            <w:vAlign w:val="center"/>
          </w:tcPr>
          <w:p w14:paraId="09B068A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策略</w:t>
            </w:r>
          </w:p>
        </w:tc>
        <w:tc>
          <w:tcPr>
            <w:tcW w:w="3061" w:type="dxa"/>
            <w:shd w:val="clear" w:color="auto" w:fill="1F3864"/>
            <w:vAlign w:val="center"/>
          </w:tcPr>
          <w:p w14:paraId="35D7892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预防措施 / 应急预案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397C54D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监控触发指标</w:t>
            </w:r>
          </w:p>
        </w:tc>
      </w:tr>
      <w:tr w14:paraId="1FAA3C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0EA65B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R-01</w:t>
            </w:r>
          </w:p>
        </w:tc>
        <w:tc>
          <w:tcPr>
            <w:tcW w:w="737" w:type="dxa"/>
            <w:vAlign w:val="center"/>
          </w:tcPr>
          <w:p w14:paraId="5D33BBA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技术</w:t>
            </w:r>
          </w:p>
        </w:tc>
        <w:tc>
          <w:tcPr>
            <w:tcW w:w="2268" w:type="dxa"/>
            <w:vAlign w:val="center"/>
          </w:tcPr>
          <w:p w14:paraId="59B86AD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大模型依赖风险：DeepSeek API Key 缺失、限流、超时或返回非法 JSON，导致意图/审核/议价/仲裁链路中断</w:t>
            </w:r>
          </w:p>
          <w:p w14:paraId="7EF86BA6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关联：NFR-6 AC-8/12；T6</w:t>
            </w:r>
          </w:p>
        </w:tc>
        <w:tc>
          <w:tcPr>
            <w:tcW w:w="397" w:type="dxa"/>
            <w:vAlign w:val="center"/>
          </w:tcPr>
          <w:p w14:paraId="56FA4BF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397" w:type="dxa"/>
            <w:vAlign w:val="center"/>
          </w:tcPr>
          <w:p w14:paraId="7F50B17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0AC7B69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vAlign w:val="center"/>
          </w:tcPr>
          <w:p w14:paraId="12B9102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vAlign w:val="center"/>
          </w:tcPr>
          <w:p w14:paraId="0AB56DC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预防：①结构化输出→Pydantic 校验→最多 3 次重试→RuleLLM 确定性兜底；②单轮超时 3 秒；③默认 Mock 模式，界面可切换 LLM；④关键动作强制人工确认</w:t>
            </w:r>
          </w:p>
          <w:p w14:paraId="5D698B9D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应急：立即切 RuleLLM 全量兜底保证演示不中断；记录故障样本，事后补跑；必要时转人工处理</w:t>
            </w:r>
          </w:p>
        </w:tc>
        <w:tc>
          <w:tcPr>
            <w:tcW w:w="1247" w:type="dxa"/>
            <w:vAlign w:val="center"/>
          </w:tcPr>
          <w:p w14:paraId="383D29F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LLM 调用失败率&gt;10% 或 P95&gt;3s；连续 2 次非法 JSON</w:t>
            </w:r>
          </w:p>
        </w:tc>
      </w:tr>
      <w:tr w14:paraId="5D4DB6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shd w:val="clear" w:color="auto" w:fill="F6F9FC"/>
            <w:vAlign w:val="center"/>
          </w:tcPr>
          <w:p w14:paraId="07A6C7D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R-02</w:t>
            </w:r>
          </w:p>
        </w:tc>
        <w:tc>
          <w:tcPr>
            <w:tcW w:w="737" w:type="dxa"/>
            <w:shd w:val="clear" w:color="auto" w:fill="F6F9FC"/>
            <w:vAlign w:val="center"/>
          </w:tcPr>
          <w:p w14:paraId="56229ED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技术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3C81A8A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LangGraph 1.x 新版本学习曲线与 API 变动风险：Checkpointer/interrupt/条件边为研究核心依赖，理解偏差会拖垮内核</w:t>
            </w:r>
          </w:p>
          <w:p w14:paraId="65D86894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关联：T5/T7/T8/T20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530FC69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7490F21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558558A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shd w:val="clear" w:color="auto" w:fill="F6F9FC"/>
            <w:vAlign w:val="center"/>
          </w:tcPr>
          <w:p w14:paraId="044E5A4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453E418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预防：①锁定 langgraph 1.2.x 并写入 requirements 锁定文件；②编码前做最小 Spike 验证图编排+检查点+人工回环；③仅使用官方文档稳定特性</w:t>
            </w:r>
          </w:p>
          <w:p w14:paraId="22368541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应急：回退到已验证版本；用最小复现用例定位问题并向导师/社区求助；极端情况下以手写状态机承载主图</w:t>
            </w:r>
          </w:p>
        </w:tc>
        <w:tc>
          <w:tcPr>
            <w:tcW w:w="1247" w:type="dxa"/>
            <w:shd w:val="clear" w:color="auto" w:fill="F6F9FC"/>
            <w:vAlign w:val="center"/>
          </w:tcPr>
          <w:p w14:paraId="59C74D6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Spike 超时未通；版本升级出现破坏性变更</w:t>
            </w:r>
          </w:p>
        </w:tc>
      </w:tr>
      <w:tr w14:paraId="6DDF83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F72391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R-03</w:t>
            </w:r>
          </w:p>
        </w:tc>
        <w:tc>
          <w:tcPr>
            <w:tcW w:w="737" w:type="dxa"/>
            <w:vAlign w:val="center"/>
          </w:tcPr>
          <w:p w14:paraId="52B6C9A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技术·质量</w:t>
            </w:r>
          </w:p>
        </w:tc>
        <w:tc>
          <w:tcPr>
            <w:tcW w:w="2268" w:type="dxa"/>
            <w:vAlign w:val="center"/>
          </w:tcPr>
          <w:p w14:paraId="660A328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并发抢单一致性风险：预占锁/乐观版本/超时回滚实现缺陷，出现超卖或脏状态（AC-3 硬性二元验收）</w:t>
            </w:r>
          </w:p>
          <w:p w14:paraId="16A5D861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关联：NFR-2 AC-3；T14</w:t>
            </w:r>
          </w:p>
        </w:tc>
        <w:tc>
          <w:tcPr>
            <w:tcW w:w="397" w:type="dxa"/>
            <w:vAlign w:val="center"/>
          </w:tcPr>
          <w:p w14:paraId="1F03B0B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7" w:type="dxa"/>
            <w:vAlign w:val="center"/>
          </w:tcPr>
          <w:p w14:paraId="450DDF0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510" w:type="dxa"/>
            <w:shd w:val="clear" w:color="auto" w:fill="F4CCCC"/>
            <w:vAlign w:val="center"/>
          </w:tcPr>
          <w:p w14:paraId="2DE150E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6"/>
              </w:rPr>
              <w:t>高</w:t>
            </w:r>
          </w:p>
        </w:tc>
        <w:tc>
          <w:tcPr>
            <w:tcW w:w="624" w:type="dxa"/>
            <w:vAlign w:val="center"/>
          </w:tcPr>
          <w:p w14:paraId="32E2A72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vAlign w:val="center"/>
          </w:tcPr>
          <w:p w14:paraId="657C959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预防：①锁令牌+乐观版本号+超时点三件套先于业务实现；②SQLite WAL；③asyncio 并发测试用例先行（两路并发恰一成功）；④非法状态迁移一律拒绝</w:t>
            </w:r>
          </w:p>
          <w:p w14:paraId="4373106E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应急：对下单临界段串行化兜底；立即回滚释放锁并恢复商品“在售”；用种子数据重建受影响订单</w:t>
            </w:r>
          </w:p>
        </w:tc>
        <w:tc>
          <w:tcPr>
            <w:tcW w:w="1247" w:type="dxa"/>
            <w:vAlign w:val="center"/>
          </w:tcPr>
          <w:p w14:paraId="52C1D9C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并发测试出现任何超卖/双成交；锁超时未释放</w:t>
            </w:r>
          </w:p>
        </w:tc>
      </w:tr>
      <w:tr w14:paraId="2A0027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shd w:val="clear" w:color="auto" w:fill="F6F9FC"/>
            <w:vAlign w:val="center"/>
          </w:tcPr>
          <w:p w14:paraId="10A1B03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R-04</w:t>
            </w:r>
          </w:p>
        </w:tc>
        <w:tc>
          <w:tcPr>
            <w:tcW w:w="737" w:type="dxa"/>
            <w:shd w:val="clear" w:color="auto" w:fill="F6F9FC"/>
            <w:vAlign w:val="center"/>
          </w:tcPr>
          <w:p w14:paraId="3CF66CA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研究核心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3702D2F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冲突决策机制效果不达预期：效用权重（0.25/0.20/0.30/0.15/−0.10）、纳什参考价与票权均为经验初值，剧本裁决可能不合理</w:t>
            </w:r>
          </w:p>
          <w:p w14:paraId="77D6999F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关联：第六章；T18–T20/T30；AC-4/5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074B427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6F0C720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510" w:type="dxa"/>
            <w:shd w:val="clear" w:color="auto" w:fill="F4CCCC"/>
            <w:vAlign w:val="center"/>
          </w:tcPr>
          <w:p w14:paraId="3D78935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6"/>
              </w:rPr>
              <w:t>高</w:t>
            </w:r>
          </w:p>
        </w:tc>
        <w:tc>
          <w:tcPr>
            <w:tcW w:w="624" w:type="dxa"/>
            <w:shd w:val="clear" w:color="auto" w:fill="F6F9FC"/>
            <w:vAlign w:val="center"/>
          </w:tcPr>
          <w:p w14:paraId="2D71A4E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32123DB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预防：①全部参数配置化并保证同输入同输出可复现；②≥10 个剧本含期望对照表逐案校准；③T30 权重对比实验支撑取值论证；④指导教师参与参数评审</w:t>
            </w:r>
          </w:p>
          <w:p w14:paraId="7661FFE2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应急：按剧本结果回调权重并留档；对争议场景降级为确定性规则裁决；在论文中如实说明参数局限性与敏感性</w:t>
            </w:r>
          </w:p>
        </w:tc>
        <w:tc>
          <w:tcPr>
            <w:tcW w:w="1247" w:type="dxa"/>
            <w:shd w:val="clear" w:color="auto" w:fill="F6F9FC"/>
            <w:vAlign w:val="center"/>
          </w:tcPr>
          <w:p w14:paraId="1667A50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剧本断言通过率&lt;90%；同一冲突两次裁决不一致</w:t>
            </w:r>
          </w:p>
        </w:tc>
      </w:tr>
      <w:tr w14:paraId="25FA59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6405877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R-05</w:t>
            </w:r>
          </w:p>
        </w:tc>
        <w:tc>
          <w:tcPr>
            <w:tcW w:w="737" w:type="dxa"/>
            <w:vAlign w:val="center"/>
          </w:tcPr>
          <w:p w14:paraId="42A9BB5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进度</w:t>
            </w:r>
          </w:p>
        </w:tc>
        <w:tc>
          <w:tcPr>
            <w:tcW w:w="2268" w:type="dxa"/>
            <w:vAlign w:val="center"/>
          </w:tcPr>
          <w:p w14:paraId="438C047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单人开发进度风险：32 项任务、前后端+内核+测试全栈，且与期末其他课程考试冲突，关键路径无冗余人力</w:t>
            </w:r>
          </w:p>
          <w:p w14:paraId="28257B0E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关联：全局；M3–M8</w:t>
            </w:r>
          </w:p>
        </w:tc>
        <w:tc>
          <w:tcPr>
            <w:tcW w:w="397" w:type="dxa"/>
            <w:vAlign w:val="center"/>
          </w:tcPr>
          <w:p w14:paraId="099B7D8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397" w:type="dxa"/>
            <w:vAlign w:val="center"/>
          </w:tcPr>
          <w:p w14:paraId="1175DF2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510" w:type="dxa"/>
            <w:shd w:val="clear" w:color="auto" w:fill="F4CCCC"/>
            <w:vAlign w:val="center"/>
          </w:tcPr>
          <w:p w14:paraId="0750379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0006"/>
                <w:sz w:val="16"/>
              </w:rPr>
              <w:t>高</w:t>
            </w:r>
          </w:p>
        </w:tc>
        <w:tc>
          <w:tcPr>
            <w:tcW w:w="624" w:type="dxa"/>
            <w:vAlign w:val="center"/>
          </w:tcPr>
          <w:p w14:paraId="5B8EC45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vAlign w:val="center"/>
          </w:tcPr>
          <w:p w14:paraId="71DBEE7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预防：①WBS 拆成可独立交付的纵向切片，严格按依赖波次推进；②P0/P1 物理隔离，P1 不进关键路径；③每周预留 1 天缓冲；④每波设定退出标准，不通不扩面</w:t>
            </w:r>
          </w:p>
          <w:p w14:paraId="05FEBF71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应急：按 P1（T27/T30/T32）→非关键 FR 的顺序裁剪；启用 12/24–12/30 集成缓冲；向导师申请延期演示彩排</w:t>
            </w:r>
          </w:p>
        </w:tc>
        <w:tc>
          <w:tcPr>
            <w:tcW w:w="1247" w:type="dxa"/>
            <w:vAlign w:val="center"/>
          </w:tcPr>
          <w:p w14:paraId="42BCD0F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任一里程碑实际偏差&gt;3 个工作日；缓冲累计消耗&gt;50%</w:t>
            </w:r>
          </w:p>
        </w:tc>
      </w:tr>
      <w:tr w14:paraId="0A8DE4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shd w:val="clear" w:color="auto" w:fill="F6F9FC"/>
            <w:vAlign w:val="center"/>
          </w:tcPr>
          <w:p w14:paraId="28A4125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R-06</w:t>
            </w:r>
          </w:p>
        </w:tc>
        <w:tc>
          <w:tcPr>
            <w:tcW w:w="737" w:type="dxa"/>
            <w:shd w:val="clear" w:color="auto" w:fill="F6F9FC"/>
            <w:vAlign w:val="center"/>
          </w:tcPr>
          <w:p w14:paraId="5E6065C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5A48263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需求蔓延风险：开发中临时增加功能（真实图片审核、更多 Agent、新页面），侵蚀 P0 工期</w:t>
            </w:r>
          </w:p>
          <w:p w14:paraId="3AE740DF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关联：SRS 3.4；Q1–Q5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0CD610F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6AC32B3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68A0F06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shd w:val="clear" w:color="auto" w:fill="F6F9FC"/>
            <w:vAlign w:val="center"/>
          </w:tcPr>
          <w:p w14:paraId="40ECEF0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规避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4D9016D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预防：①以 SRS V4 为冻结基线，新增想法一律记入“变更候选”不当场开发；②坚持明确不做清单（真实支付/物流/统一认证/App/集群）</w:t>
            </w:r>
          </w:p>
          <w:p w14:paraId="4EB7793E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应急：变更走简易评审：评估对 AC 与关键路径影响，默认排入下学期，至多以配置项形式预留</w:t>
            </w:r>
          </w:p>
        </w:tc>
        <w:tc>
          <w:tcPr>
            <w:tcW w:w="1247" w:type="dxa"/>
            <w:shd w:val="clear" w:color="auto" w:fill="F6F9FC"/>
            <w:vAlign w:val="center"/>
          </w:tcPr>
          <w:p w14:paraId="34FC4AC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出现未经评估即动工的新需求；周计划外工时占比&gt;15%</w:t>
            </w:r>
          </w:p>
        </w:tc>
      </w:tr>
      <w:tr w14:paraId="6790A2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4811D3B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R-07</w:t>
            </w:r>
          </w:p>
        </w:tc>
        <w:tc>
          <w:tcPr>
            <w:tcW w:w="737" w:type="dxa"/>
            <w:vAlign w:val="center"/>
          </w:tcPr>
          <w:p w14:paraId="13E513C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技术</w:t>
            </w:r>
          </w:p>
        </w:tc>
        <w:tc>
          <w:tcPr>
            <w:tcW w:w="2268" w:type="dxa"/>
            <w:vAlign w:val="center"/>
          </w:tcPr>
          <w:p w14:paraId="1754674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三级人工回环实现风险：LangGraph interrupt 挂起/恢复、冻结订单商品、裁决写回 SSOT 链路复杂，易产生悬挂状态</w:t>
            </w:r>
          </w:p>
          <w:p w14:paraId="6B589867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关联：AC-5；T20/T26</w:t>
            </w:r>
          </w:p>
        </w:tc>
        <w:tc>
          <w:tcPr>
            <w:tcW w:w="397" w:type="dxa"/>
            <w:vAlign w:val="center"/>
          </w:tcPr>
          <w:p w14:paraId="15F3253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7" w:type="dxa"/>
            <w:vAlign w:val="center"/>
          </w:tcPr>
          <w:p w14:paraId="3C08EBA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4F92A4D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vAlign w:val="center"/>
          </w:tcPr>
          <w:p w14:paraId="5FA0851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vAlign w:val="center"/>
          </w:tcPr>
          <w:p w14:paraId="1F38DF2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预防：①在 T8 主图阶段即引入最小 interrupt 演练；②冻结/恢复动作配套检查点轨迹测试；③工作台终裁写回采用幂等设计</w:t>
            </w:r>
          </w:p>
          <w:p w14:paraId="0A55BDE6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应急：工作台增加轮询补偿与“手工恢复”入口；编写悬挂事务核查脚本；极端情况按检查点重建图状态</w:t>
            </w:r>
          </w:p>
        </w:tc>
        <w:tc>
          <w:tcPr>
            <w:tcW w:w="1247" w:type="dxa"/>
            <w:vAlign w:val="center"/>
          </w:tcPr>
          <w:p w14:paraId="3D9CC26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挂起事件无法恢复；终裁后状态未流转</w:t>
            </w:r>
          </w:p>
        </w:tc>
      </w:tr>
      <w:tr w14:paraId="5F7138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shd w:val="clear" w:color="auto" w:fill="F6F9FC"/>
            <w:vAlign w:val="center"/>
          </w:tcPr>
          <w:p w14:paraId="35B5D21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R-08</w:t>
            </w:r>
          </w:p>
        </w:tc>
        <w:tc>
          <w:tcPr>
            <w:tcW w:w="737" w:type="dxa"/>
            <w:shd w:val="clear" w:color="auto" w:fill="F6F9FC"/>
            <w:vAlign w:val="center"/>
          </w:tcPr>
          <w:p w14:paraId="58F9000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技术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673AE12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议价 WebSocket 实时一致性风险：出价乱序、倒计时漂移、断线重连后会话丢失</w:t>
            </w:r>
          </w:p>
          <w:p w14:paraId="53FD1C56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关联：FR-6 NFR-3；T22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4B8830B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6F269B6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5630655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shd w:val="clear" w:color="auto" w:fill="F6F9FC"/>
            <w:vAlign w:val="center"/>
          </w:tcPr>
          <w:p w14:paraId="1C6674A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6B832C9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预防：①会话状态以服务端为权威，客户端只渲染；②单调让步违例拒收、轮次/时间服务端计时；③断线重连拉取全量出价序列</w:t>
            </w:r>
          </w:p>
          <w:p w14:paraId="49EE6C45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应急：WS 异常时降级为 HTTP 短轮询；保留议价记录事后重放</w:t>
            </w:r>
          </w:p>
        </w:tc>
        <w:tc>
          <w:tcPr>
            <w:tcW w:w="1247" w:type="dxa"/>
            <w:shd w:val="clear" w:color="auto" w:fill="F6F9FC"/>
            <w:vAlign w:val="center"/>
          </w:tcPr>
          <w:p w14:paraId="5C3E17F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WS 测试出现乱序/重复消息；重连后序列缺失</w:t>
            </w:r>
          </w:p>
        </w:tc>
      </w:tr>
      <w:tr w14:paraId="13807A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DF7ABE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R-09</w:t>
            </w:r>
          </w:p>
        </w:tc>
        <w:tc>
          <w:tcPr>
            <w:tcW w:w="737" w:type="dxa"/>
            <w:vAlign w:val="center"/>
          </w:tcPr>
          <w:p w14:paraId="65EFB33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安全</w:t>
            </w:r>
          </w:p>
        </w:tc>
        <w:tc>
          <w:tcPr>
            <w:tcW w:w="2268" w:type="dxa"/>
            <w:vAlign w:val="center"/>
          </w:tcPr>
          <w:p w14:paraId="3190736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安全机制被绕过风险：JWT/角色守卫配置疏漏、数据未按用户隔离、veto 被投票或效用逻辑覆盖</w:t>
            </w:r>
          </w:p>
          <w:p w14:paraId="55A3F4D2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关联：NFR-4 AC-1；T4/T11</w:t>
            </w:r>
          </w:p>
        </w:tc>
        <w:tc>
          <w:tcPr>
            <w:tcW w:w="397" w:type="dxa"/>
            <w:vAlign w:val="center"/>
          </w:tcPr>
          <w:p w14:paraId="6B55AA3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397" w:type="dxa"/>
            <w:vAlign w:val="center"/>
          </w:tcPr>
          <w:p w14:paraId="7A702BE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2D377E1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vAlign w:val="center"/>
          </w:tcPr>
          <w:p w14:paraId="228FA3A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规避</w:t>
            </w:r>
          </w:p>
        </w:tc>
        <w:tc>
          <w:tcPr>
            <w:tcW w:w="3061" w:type="dxa"/>
            <w:vAlign w:val="center"/>
          </w:tcPr>
          <w:p w14:paraId="422AB56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预防：①bcrypt 哈希+JWT 校验+买家/卖家/管理员三级守卫+冻结拦截；②veto 在服务端硬判定，任何上游放行不可覆盖并编写对抗调用测试；③接口级越权测试全覆盖</w:t>
            </w:r>
          </w:p>
          <w:p w14:paraId="578F5407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应急：发现绕过立即修复并回归全部安全剧本；冻结可疑账号；审计日志回溯影响面</w:t>
            </w:r>
          </w:p>
        </w:tc>
        <w:tc>
          <w:tcPr>
            <w:tcW w:w="1247" w:type="dxa"/>
            <w:vAlign w:val="center"/>
          </w:tcPr>
          <w:p w14:paraId="5E681CF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对抗测试出现 veto 放行；越权接口返回 200</w:t>
            </w:r>
          </w:p>
        </w:tc>
      </w:tr>
      <w:tr w14:paraId="79A7FB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shd w:val="clear" w:color="auto" w:fill="F6F9FC"/>
            <w:vAlign w:val="center"/>
          </w:tcPr>
          <w:p w14:paraId="063B6D4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R-10</w:t>
            </w:r>
          </w:p>
        </w:tc>
        <w:tc>
          <w:tcPr>
            <w:tcW w:w="737" w:type="dxa"/>
            <w:shd w:val="clear" w:color="auto" w:fill="F6F9FC"/>
            <w:vAlign w:val="center"/>
          </w:tcPr>
          <w:p w14:paraId="0C1E69F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进度·质量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6247612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前端工程量风险：卖家/买家/管理员三端页面众多，联调滞后可能导致 AC-13 rubric 与 E2E 演示不达标</w:t>
            </w:r>
          </w:p>
          <w:p w14:paraId="205248DD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关联：AC-13/2；T23–T26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615ECE3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29DD73C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33E05B7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shd w:val="clear" w:color="auto" w:fill="F6F9FC"/>
            <w:vAlign w:val="center"/>
          </w:tcPr>
          <w:p w14:paraId="0F58D32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06625ED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预防：①Element Plus 统一布局与组件复用；②API 契约先行，前端基于 Mock 并行开发；③按用户旅程逐页走查截图</w:t>
            </w:r>
          </w:p>
          <w:p w14:paraId="0AC29BA3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应急：优先保三端主流程完整，视觉效果做减法；P1 大屏资源不足时直接裁剪</w:t>
            </w:r>
          </w:p>
        </w:tc>
        <w:tc>
          <w:tcPr>
            <w:tcW w:w="1247" w:type="dxa"/>
            <w:shd w:val="clear" w:color="auto" w:fill="F6F9FC"/>
            <w:vAlign w:val="center"/>
          </w:tcPr>
          <w:p w14:paraId="75325F3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T24/T25 启动时 API 仍不可用；走查缺陷&gt;15 个</w:t>
            </w:r>
          </w:p>
        </w:tc>
      </w:tr>
      <w:tr w14:paraId="086502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0B230A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R-11</w:t>
            </w:r>
          </w:p>
        </w:tc>
        <w:tc>
          <w:tcPr>
            <w:tcW w:w="737" w:type="dxa"/>
            <w:vAlign w:val="center"/>
          </w:tcPr>
          <w:p w14:paraId="6D4E345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环境·可复现</w:t>
            </w:r>
          </w:p>
        </w:tc>
        <w:tc>
          <w:tcPr>
            <w:tcW w:w="2268" w:type="dxa"/>
            <w:vAlign w:val="center"/>
          </w:tcPr>
          <w:p w14:paraId="34011A3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干净环境一键启动失败风险：Windows + Python/Node 版本差异、依赖安装失败，导致 NFR-7 与现场演示翻车</w:t>
            </w:r>
          </w:p>
          <w:p w14:paraId="1897EACA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关联：NFR-7；T31</w:t>
            </w:r>
          </w:p>
        </w:tc>
        <w:tc>
          <w:tcPr>
            <w:tcW w:w="397" w:type="dxa"/>
            <w:vAlign w:val="center"/>
          </w:tcPr>
          <w:p w14:paraId="77F2242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7" w:type="dxa"/>
            <w:vAlign w:val="center"/>
          </w:tcPr>
          <w:p w14:paraId="4BAB174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291DFBD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vAlign w:val="center"/>
          </w:tcPr>
          <w:p w14:paraId="68564B1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vAlign w:val="center"/>
          </w:tcPr>
          <w:p w14:paraId="74BC85C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预防：①提供 Windows 一键启动脚本（后端+前端+初始化+播种）；②依赖版本锁定；③在全新目录按 README 做第三方视角走查</w:t>
            </w:r>
          </w:p>
          <w:p w14:paraId="5E67B937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应急：准备第二套已验证环境（笔记本）；离线录屏与截图兜底；现场优先使用无 Key Mock 模式</w:t>
            </w:r>
          </w:p>
        </w:tc>
        <w:tc>
          <w:tcPr>
            <w:tcW w:w="1247" w:type="dxa"/>
            <w:vAlign w:val="center"/>
          </w:tcPr>
          <w:p w14:paraId="166221F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全新环境走查任一步骤失败；演示彩排启动超时</w:t>
            </w:r>
          </w:p>
        </w:tc>
      </w:tr>
      <w:tr w14:paraId="1FE8AB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shd w:val="clear" w:color="auto" w:fill="F6F9FC"/>
            <w:vAlign w:val="center"/>
          </w:tcPr>
          <w:p w14:paraId="5234683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R-12</w:t>
            </w:r>
          </w:p>
        </w:tc>
        <w:tc>
          <w:tcPr>
            <w:tcW w:w="737" w:type="dxa"/>
            <w:shd w:val="clear" w:color="auto" w:fill="F6F9FC"/>
            <w:vAlign w:val="center"/>
          </w:tcPr>
          <w:p w14:paraId="099D1C1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质量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76428E1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剧本与故障注入覆盖不足风险：C1–C8 映射遗漏、≥10 剧本数量不足或断言不严，AC-7/AC-12 无法取证</w:t>
            </w:r>
          </w:p>
          <w:p w14:paraId="7512053B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关联：AC-7/12；T28/T29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63FC0F1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1079FAC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64048BE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shd w:val="clear" w:color="auto" w:fill="F6F9FC"/>
            <w:vAlign w:val="center"/>
          </w:tcPr>
          <w:p w14:paraId="34B508E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5A85FB7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预防：①建立 C1–C8→剧本→断言映射表，剧本随功能任务同步编写；②非法 JSON/超时/无 Key 三类故障注入用例化；③纳入回归集</w:t>
            </w:r>
          </w:p>
          <w:p w14:paraId="082A7F1F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应急：缺口用手工演示脚本与录屏补充证据；冻结期集中补齐剧本</w:t>
            </w:r>
          </w:p>
        </w:tc>
        <w:tc>
          <w:tcPr>
            <w:tcW w:w="1247" w:type="dxa"/>
            <w:shd w:val="clear" w:color="auto" w:fill="F6F9FC"/>
            <w:vAlign w:val="center"/>
          </w:tcPr>
          <w:p w14:paraId="0B594CF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中期盘点剧本&lt;8 个；任一 C 类场景无映射</w:t>
            </w:r>
          </w:p>
        </w:tc>
      </w:tr>
      <w:tr w14:paraId="3CED80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B3DD1F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R-13</w:t>
            </w:r>
          </w:p>
        </w:tc>
        <w:tc>
          <w:tcPr>
            <w:tcW w:w="737" w:type="dxa"/>
            <w:vAlign w:val="center"/>
          </w:tcPr>
          <w:p w14:paraId="1DD143D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质量·研究</w:t>
            </w:r>
          </w:p>
        </w:tc>
        <w:tc>
          <w:tcPr>
            <w:tcW w:w="2268" w:type="dxa"/>
            <w:vAlign w:val="center"/>
          </w:tcPr>
          <w:p w14:paraId="727EB9D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内容审核误判/漏判与可解释性不足：规则库覆盖有限，审核结论依据不充分导致 TR-11.2 rubric&lt;4</w:t>
            </w:r>
          </w:p>
          <w:p w14:paraId="6826547C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关联：FR-4；T11；TR-11.2</w:t>
            </w:r>
          </w:p>
        </w:tc>
        <w:tc>
          <w:tcPr>
            <w:tcW w:w="397" w:type="dxa"/>
            <w:vAlign w:val="center"/>
          </w:tcPr>
          <w:p w14:paraId="559D305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7" w:type="dxa"/>
            <w:vAlign w:val="center"/>
          </w:tcPr>
          <w:p w14:paraId="3C558E5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5D95B3F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vAlign w:val="center"/>
          </w:tcPr>
          <w:p w14:paraId="4B48C53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vAlign w:val="center"/>
          </w:tcPr>
          <w:p w14:paraId="1D6455D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预防：①违禁词规则库+LLM 双判定、置信度融合；②结论强制输出逐条依据；③10 条典型样本评审校准</w:t>
            </w:r>
          </w:p>
          <w:p w14:paraId="32338900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应急：低置信度一律转人工复核；扩充违禁词表并重跑样本评审</w:t>
            </w:r>
          </w:p>
        </w:tc>
        <w:tc>
          <w:tcPr>
            <w:tcW w:w="1247" w:type="dxa"/>
            <w:vAlign w:val="center"/>
          </w:tcPr>
          <w:p w14:paraId="5E63B57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样本评审 rubric&lt;4；出现违禁漏判</w:t>
            </w:r>
          </w:p>
        </w:tc>
      </w:tr>
      <w:tr w14:paraId="3B82B3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shd w:val="clear" w:color="auto" w:fill="F6F9FC"/>
            <w:vAlign w:val="center"/>
          </w:tcPr>
          <w:p w14:paraId="6AAC8A2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R-14</w:t>
            </w:r>
          </w:p>
        </w:tc>
        <w:tc>
          <w:tcPr>
            <w:tcW w:w="737" w:type="dxa"/>
            <w:shd w:val="clear" w:color="auto" w:fill="F6F9FC"/>
            <w:vAlign w:val="center"/>
          </w:tcPr>
          <w:p w14:paraId="20FB67E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研究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7B967E8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数据代表性风险：无真实交易数据，种子数据与历史成交价为人工构造，实验结论说服力受限</w:t>
            </w:r>
          </w:p>
          <w:p w14:paraId="4D0CE90F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关联：SRS 8.2；T3/T30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5DEE666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3D13D9B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1F5105BD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shd w:val="clear" w:color="auto" w:fill="F6F9FC"/>
            <w:vAlign w:val="center"/>
          </w:tcPr>
          <w:p w14:paraId="02FE15F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接受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5228B3A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预防：①构造多类目、多价位、多信用梯度的种子集；②论文中明确数据为演示用途、结论定性化；③权重实验聚焦机制可复现性而非统计显著</w:t>
            </w:r>
          </w:p>
          <w:p w14:paraId="2A518D76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应急：以机制演示与案例分析替代大样本结论；补充构造边界案例增强说服力</w:t>
            </w:r>
          </w:p>
        </w:tc>
        <w:tc>
          <w:tcPr>
            <w:tcW w:w="1247" w:type="dxa"/>
            <w:shd w:val="clear" w:color="auto" w:fill="F6F9FC"/>
            <w:vAlign w:val="center"/>
          </w:tcPr>
          <w:p w14:paraId="7C51C88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评审质疑结论普适性</w:t>
            </w:r>
          </w:p>
        </w:tc>
      </w:tr>
      <w:tr w14:paraId="02482E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51B583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R-15</w:t>
            </w:r>
          </w:p>
        </w:tc>
        <w:tc>
          <w:tcPr>
            <w:tcW w:w="737" w:type="dxa"/>
            <w:vAlign w:val="center"/>
          </w:tcPr>
          <w:p w14:paraId="0874056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技术</w:t>
            </w:r>
          </w:p>
        </w:tc>
        <w:tc>
          <w:tcPr>
            <w:tcW w:w="2268" w:type="dxa"/>
            <w:vAlign w:val="center"/>
          </w:tcPr>
          <w:p w14:paraId="164F947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第三方生态变动风险：重蹈 AutoGen 进入维护模式的覆辙，所选依赖出现弃用/破坏性升级</w:t>
            </w:r>
          </w:p>
          <w:p w14:paraId="22CD67D1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关联：SRS 8.1；全局</w:t>
            </w:r>
          </w:p>
        </w:tc>
        <w:tc>
          <w:tcPr>
            <w:tcW w:w="397" w:type="dxa"/>
            <w:vAlign w:val="center"/>
          </w:tcPr>
          <w:p w14:paraId="067719B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397" w:type="dxa"/>
            <w:vAlign w:val="center"/>
          </w:tcPr>
          <w:p w14:paraId="7D92EA9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6CC603A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vAlign w:val="center"/>
          </w:tcPr>
          <w:p w14:paraId="05CF326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vAlign w:val="center"/>
          </w:tcPr>
          <w:p w14:paraId="24FC90B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预防：①LLM 与编排均经适配层隔离，可切 Qwen/GLM 或替换框架；②版本锁定、不追新；③优先活跃维护依赖</w:t>
            </w:r>
          </w:p>
          <w:p w14:paraId="3CCB315C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应急：在适配层内替换实现，业务 Agent 零改动；RuleLLM 保证无外部依赖也可运行</w:t>
            </w:r>
          </w:p>
        </w:tc>
        <w:tc>
          <w:tcPr>
            <w:tcW w:w="1247" w:type="dxa"/>
            <w:vAlign w:val="center"/>
          </w:tcPr>
          <w:p w14:paraId="3F7EB91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依赖发布弃用公告或锁版本出现漏洞预警</w:t>
            </w:r>
          </w:p>
        </w:tc>
      </w:tr>
      <w:tr w14:paraId="6D396E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shd w:val="clear" w:color="auto" w:fill="F6F9FC"/>
            <w:vAlign w:val="center"/>
          </w:tcPr>
          <w:p w14:paraId="747776A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R-16</w:t>
            </w:r>
          </w:p>
        </w:tc>
        <w:tc>
          <w:tcPr>
            <w:tcW w:w="737" w:type="dxa"/>
            <w:shd w:val="clear" w:color="auto" w:fill="F6F9FC"/>
            <w:vAlign w:val="center"/>
          </w:tcPr>
          <w:p w14:paraId="5FE532E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演示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69F6B83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答辩当日故障风险：现场网络不通、设备兼容问题、投影效果差</w:t>
            </w:r>
          </w:p>
          <w:p w14:paraId="781802CF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关联：T31；答辩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2C2D719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2EAB2A1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510" w:type="dxa"/>
            <w:shd w:val="clear" w:color="auto" w:fill="FFF2CC"/>
            <w:vAlign w:val="center"/>
          </w:tcPr>
          <w:p w14:paraId="04F612D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9C6500"/>
                <w:sz w:val="16"/>
              </w:rPr>
              <w:t>中</w:t>
            </w:r>
          </w:p>
        </w:tc>
        <w:tc>
          <w:tcPr>
            <w:tcW w:w="624" w:type="dxa"/>
            <w:shd w:val="clear" w:color="auto" w:fill="F6F9FC"/>
            <w:vAlign w:val="center"/>
          </w:tcPr>
          <w:p w14:paraId="29A0482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095191C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预防：①答辩前完成至少 2 次全流程离线彩排（无 Key）；②录屏+截图+本地数据三套备份；③双设备（台式+笔记本）待命</w:t>
            </w:r>
          </w:p>
          <w:p w14:paraId="0704A88E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应急：断网即切 Mock 离线模式；设备故障改用笔记本播放录屏并口述机制</w:t>
            </w:r>
          </w:p>
        </w:tc>
        <w:tc>
          <w:tcPr>
            <w:tcW w:w="1247" w:type="dxa"/>
            <w:shd w:val="clear" w:color="auto" w:fill="F6F9FC"/>
            <w:vAlign w:val="center"/>
          </w:tcPr>
          <w:p w14:paraId="667D53A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彩排中出现启动/网络异常</w:t>
            </w:r>
          </w:p>
        </w:tc>
      </w:tr>
      <w:tr w14:paraId="1DB8A8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0BCC37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R-17</w:t>
            </w:r>
          </w:p>
        </w:tc>
        <w:tc>
          <w:tcPr>
            <w:tcW w:w="737" w:type="dxa"/>
            <w:vAlign w:val="center"/>
          </w:tcPr>
          <w:p w14:paraId="7181F37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技术</w:t>
            </w:r>
          </w:p>
        </w:tc>
        <w:tc>
          <w:tcPr>
            <w:tcW w:w="2268" w:type="dxa"/>
            <w:vAlign w:val="center"/>
          </w:tcPr>
          <w:p w14:paraId="4F288B1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SQLite 单机局限风险：WAL 锁竞争或数据库文件损坏影响演示稳定性</w:t>
            </w:r>
          </w:p>
          <w:p w14:paraId="23D3B85B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关联：NFR；数据层</w:t>
            </w:r>
          </w:p>
        </w:tc>
        <w:tc>
          <w:tcPr>
            <w:tcW w:w="397" w:type="dxa"/>
            <w:vAlign w:val="center"/>
          </w:tcPr>
          <w:p w14:paraId="5BAFD65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397" w:type="dxa"/>
            <w:vAlign w:val="center"/>
          </w:tcPr>
          <w:p w14:paraId="2E9CAB7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510" w:type="dxa"/>
            <w:shd w:val="clear" w:color="auto" w:fill="D9EAD3"/>
            <w:vAlign w:val="center"/>
          </w:tcPr>
          <w:p w14:paraId="21C334A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6"/>
              </w:rPr>
              <w:t>低</w:t>
            </w:r>
          </w:p>
        </w:tc>
        <w:tc>
          <w:tcPr>
            <w:tcW w:w="624" w:type="dxa"/>
            <w:vAlign w:val="center"/>
          </w:tcPr>
          <w:p w14:paraId="0470459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vAlign w:val="center"/>
          </w:tcPr>
          <w:p w14:paraId="752510C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预防：①WAL 模式+短事务+异常即回滚；②每日备份 db 文件；③SQLModel 设计保持可切换 PostgreSQL</w:t>
            </w:r>
          </w:p>
          <w:p w14:paraId="4EFD101A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应急：用种子脚本快速重建库；从备份恢复；必要时切内存库演示</w:t>
            </w:r>
          </w:p>
        </w:tc>
        <w:tc>
          <w:tcPr>
            <w:tcW w:w="1247" w:type="dxa"/>
            <w:vAlign w:val="center"/>
          </w:tcPr>
          <w:p w14:paraId="779973D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出现 database is locked；响应明显劣化</w:t>
            </w:r>
          </w:p>
        </w:tc>
      </w:tr>
      <w:tr w14:paraId="2CBF08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jc w:val="center"/>
        </w:trPr>
        <w:tc>
          <w:tcPr>
            <w:tcW w:w="624" w:type="dxa"/>
            <w:shd w:val="clear" w:color="auto" w:fill="F6F9FC"/>
            <w:vAlign w:val="center"/>
          </w:tcPr>
          <w:p w14:paraId="10DB84C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R-18</w:t>
            </w:r>
          </w:p>
        </w:tc>
        <w:tc>
          <w:tcPr>
            <w:tcW w:w="737" w:type="dxa"/>
            <w:shd w:val="clear" w:color="auto" w:fill="F6F9FC"/>
            <w:vAlign w:val="center"/>
          </w:tcPr>
          <w:p w14:paraId="07422B3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63FDC12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交付资产滞后风险：文档、截图、PPT、演示剧本堆积到收尾期，与考试周冲突</w:t>
            </w:r>
          </w:p>
          <w:p w14:paraId="723766BA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关联：T31；第九章交付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1921CF3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7" w:type="dxa"/>
            <w:shd w:val="clear" w:color="auto" w:fill="F6F9FC"/>
            <w:vAlign w:val="center"/>
          </w:tcPr>
          <w:p w14:paraId="1820ADD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510" w:type="dxa"/>
            <w:shd w:val="clear" w:color="auto" w:fill="D9EAD3"/>
            <w:vAlign w:val="center"/>
          </w:tcPr>
          <w:p w14:paraId="03ABBC6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38761D"/>
                <w:sz w:val="16"/>
              </w:rPr>
              <w:t>低</w:t>
            </w:r>
          </w:p>
        </w:tc>
        <w:tc>
          <w:tcPr>
            <w:tcW w:w="624" w:type="dxa"/>
            <w:shd w:val="clear" w:color="auto" w:fill="F6F9FC"/>
            <w:vAlign w:val="center"/>
          </w:tcPr>
          <w:p w14:paraId="59F067C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减轻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2056D9B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预防：①延续周报机制每周沉淀进展素材；②每完成一个端到端任务即截图归档；③风险计划、设计文档随开发滚动更新</w:t>
            </w:r>
          </w:p>
          <w:p w14:paraId="7EAB83AD"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应急：冻结期（12/30 起）集中处理资产，必要时裁剪 P1 换取 3 个工作日</w:t>
            </w:r>
          </w:p>
        </w:tc>
        <w:tc>
          <w:tcPr>
            <w:tcW w:w="1247" w:type="dxa"/>
            <w:shd w:val="clear" w:color="auto" w:fill="F6F9FC"/>
            <w:vAlign w:val="center"/>
          </w:tcPr>
          <w:p w14:paraId="5B43825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里程碑时素材缺失；收尾期待办堆积&gt;10 项</w:t>
            </w:r>
          </w:p>
        </w:tc>
      </w:tr>
    </w:tbl>
    <w:p w14:paraId="4BBDE0CE">
      <w:r>
        <w:br w:type="page"/>
      </w:r>
    </w:p>
    <w:p w14:paraId="2145C78C">
      <w:pPr>
        <w:pBdr>
          <w:bottom w:val="single" w:color="2E74B5" w:sz="12" w:space="3"/>
        </w:pBdr>
        <w:spacing w:before="320" w:after="120"/>
      </w:pPr>
      <w:r>
        <w:rPr>
          <w:rFonts w:ascii="微软雅黑" w:hAnsi="微软雅黑" w:eastAsia="微软雅黑"/>
          <w:b/>
          <w:color w:val="1F3864"/>
          <w:sz w:val="30"/>
        </w:rPr>
        <w:t>六  TOP 5 高风险专项预案</w:t>
      </w:r>
    </w:p>
    <w:p w14:paraId="3D2A4EA1">
      <w:pPr>
        <w:spacing w:after="120"/>
        <w:ind w:firstLine="420"/>
      </w:pPr>
      <w:r>
        <w:rPr>
          <w:rFonts w:ascii="微软雅黑" w:hAnsi="微软雅黑" w:eastAsia="微软雅黑"/>
          <w:b w:val="0"/>
          <w:sz w:val="21"/>
        </w:rPr>
        <w:t>风险值 ≥15 的高风险共 3 项（R-03、R-04、R-05），并将影响最重的中风险 R-02、R-11 纳入专项管控，形成 TOP5。五项风险均要求：责任人为梁奕琦，指导教师知情；每三天检查一次指标；在对应里程碑评审会上逐项过点。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44"/>
        <w:gridCol w:w="1474"/>
        <w:gridCol w:w="2268"/>
        <w:gridCol w:w="2041"/>
        <w:gridCol w:w="1304"/>
      </w:tblGrid>
      <w:tr w14:paraId="1DABA4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644" w:type="dxa"/>
            <w:shd w:val="clear" w:color="auto" w:fill="1F3864"/>
            <w:vAlign w:val="center"/>
          </w:tcPr>
          <w:p w14:paraId="015390D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专项风险</w:t>
            </w:r>
          </w:p>
        </w:tc>
        <w:tc>
          <w:tcPr>
            <w:tcW w:w="1474" w:type="dxa"/>
            <w:shd w:val="clear" w:color="auto" w:fill="1F3864"/>
            <w:vAlign w:val="center"/>
          </w:tcPr>
          <w:p w14:paraId="1EE566D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关键时点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56E771F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预防措施（事前）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715AF06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应急预案（事后）</w:t>
            </w:r>
          </w:p>
        </w:tc>
        <w:tc>
          <w:tcPr>
            <w:tcW w:w="1304" w:type="dxa"/>
            <w:shd w:val="clear" w:color="auto" w:fill="1F3864"/>
            <w:vAlign w:val="center"/>
          </w:tcPr>
          <w:p w14:paraId="3E48C3E5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核心监控指标</w:t>
            </w:r>
          </w:p>
        </w:tc>
      </w:tr>
      <w:tr w14:paraId="21D3F2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17FC224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R-05 单人全栈进度（16，高）</w:t>
            </w:r>
          </w:p>
        </w:tc>
        <w:tc>
          <w:tcPr>
            <w:tcW w:w="1474" w:type="dxa"/>
            <w:vAlign w:val="center"/>
          </w:tcPr>
          <w:p w14:paraId="6A6EEAA2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M3 内核贯通、M5 三级冲突贯通</w:t>
            </w:r>
          </w:p>
        </w:tc>
        <w:tc>
          <w:tcPr>
            <w:tcW w:w="2268" w:type="dxa"/>
            <w:vAlign w:val="center"/>
          </w:tcPr>
          <w:p w14:paraId="5EC10A8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按波次串行交付、P0 优先；每周 1 天缓冲；每日对照任务队列核对实际工时</w:t>
            </w:r>
          </w:p>
        </w:tc>
        <w:tc>
          <w:tcPr>
            <w:tcW w:w="2041" w:type="dxa"/>
            <w:vAlign w:val="center"/>
          </w:tcPr>
          <w:p w14:paraId="4CC5992A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偏差&gt;3 天即重排关键路径；按 T32→T30→T27 顺序裁剪 P1；启用 12/24–12/30 集成缓冲；必要时与导师确认降级非关键 FR</w:t>
            </w:r>
          </w:p>
        </w:tc>
        <w:tc>
          <w:tcPr>
            <w:tcW w:w="1304" w:type="dxa"/>
            <w:vAlign w:val="center"/>
          </w:tcPr>
          <w:p w14:paraId="3474F7F5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里程碑偏差天数、缓冲消耗率、周计划完成率</w:t>
            </w:r>
          </w:p>
        </w:tc>
      </w:tr>
      <w:tr w14:paraId="620A46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644" w:type="dxa"/>
            <w:shd w:val="clear" w:color="auto" w:fill="F6F9FC"/>
            <w:vAlign w:val="center"/>
          </w:tcPr>
          <w:p w14:paraId="073D8FA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R-04 冲突机制效果（16，高）</w:t>
            </w:r>
          </w:p>
        </w:tc>
        <w:tc>
          <w:tcPr>
            <w:tcW w:w="1474" w:type="dxa"/>
            <w:shd w:val="clear" w:color="auto" w:fill="F6F9FC"/>
            <w:vAlign w:val="center"/>
          </w:tcPr>
          <w:p w14:paraId="7122392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M5（12-11）、M7（12-26）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5B08995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参数配置化；剧本对照表逐案校准；权重对比实验；导师参与参数评审</w:t>
            </w:r>
          </w:p>
        </w:tc>
        <w:tc>
          <w:tcPr>
            <w:tcW w:w="2041" w:type="dxa"/>
            <w:shd w:val="clear" w:color="auto" w:fill="F6F9FC"/>
            <w:vAlign w:val="center"/>
          </w:tcPr>
          <w:p w14:paraId="6CB39708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回调权重并留档；争议场景降级确定性规则；论文如实说明经验初值与敏感性分析</w:t>
            </w:r>
          </w:p>
        </w:tc>
        <w:tc>
          <w:tcPr>
            <w:tcW w:w="1304" w:type="dxa"/>
            <w:shd w:val="clear" w:color="auto" w:fill="F6F9FC"/>
            <w:vAlign w:val="center"/>
          </w:tcPr>
          <w:p w14:paraId="54D5A858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剧本通过率、裁决一致性（同输入同输出）、导师评审意见</w:t>
            </w:r>
          </w:p>
        </w:tc>
      </w:tr>
      <w:tr w14:paraId="12BBC3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2D1F0CB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R-03 并发抢单一致性（15，高）</w:t>
            </w:r>
          </w:p>
        </w:tc>
        <w:tc>
          <w:tcPr>
            <w:tcW w:w="1474" w:type="dxa"/>
            <w:vAlign w:val="center"/>
          </w:tcPr>
          <w:p w14:paraId="024D8E4D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M6（12-20），T14 完成即验</w:t>
            </w:r>
          </w:p>
        </w:tc>
        <w:tc>
          <w:tcPr>
            <w:tcW w:w="2268" w:type="dxa"/>
            <w:vAlign w:val="center"/>
          </w:tcPr>
          <w:p w14:paraId="61A3504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锁三件套先行；并发测试用例先行；WAL+非法迁移拒绝</w:t>
            </w:r>
          </w:p>
        </w:tc>
        <w:tc>
          <w:tcPr>
            <w:tcW w:w="2041" w:type="dxa"/>
            <w:vAlign w:val="center"/>
          </w:tcPr>
          <w:p w14:paraId="5C5D4227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临界段串行化；回滚释放、恢复在售；重建受影响订单数据</w:t>
            </w:r>
          </w:p>
        </w:tc>
        <w:tc>
          <w:tcPr>
            <w:tcW w:w="1304" w:type="dxa"/>
            <w:vAlign w:val="center"/>
          </w:tcPr>
          <w:p w14:paraId="1138A24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并发测试结果（必须 0 超卖）、锁等待/超时日志</w:t>
            </w:r>
          </w:p>
        </w:tc>
      </w:tr>
      <w:tr w14:paraId="28E2C7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644" w:type="dxa"/>
            <w:shd w:val="clear" w:color="auto" w:fill="F6F9FC"/>
            <w:vAlign w:val="center"/>
          </w:tcPr>
          <w:p w14:paraId="62B2710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R-02 LangGraph 关键技术（12，中）</w:t>
            </w:r>
          </w:p>
        </w:tc>
        <w:tc>
          <w:tcPr>
            <w:tcW w:w="1474" w:type="dxa"/>
            <w:shd w:val="clear" w:color="auto" w:fill="F6F9FC"/>
            <w:vAlign w:val="center"/>
          </w:tcPr>
          <w:p w14:paraId="76AC32C5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M2 详设评审后、M3 前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1C0D38DA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锁定 1.2.x；T8 前完成 Checkpointer+interrupt 最小 Spike；仅用稳定 API</w:t>
            </w:r>
          </w:p>
        </w:tc>
        <w:tc>
          <w:tcPr>
            <w:tcW w:w="2041" w:type="dxa"/>
            <w:shd w:val="clear" w:color="auto" w:fill="F6F9FC"/>
            <w:vAlign w:val="center"/>
          </w:tcPr>
          <w:p w14:paraId="6B0D611E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回退已验证版本；最小复现求助；手写状态机承载主图兜底</w:t>
            </w:r>
          </w:p>
        </w:tc>
        <w:tc>
          <w:tcPr>
            <w:tcW w:w="1304" w:type="dxa"/>
            <w:shd w:val="clear" w:color="auto" w:fill="F6F9FC"/>
            <w:vAlign w:val="center"/>
          </w:tcPr>
          <w:p w14:paraId="4F86A3B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Spike 完成情况、依赖变更公告</w:t>
            </w:r>
          </w:p>
        </w:tc>
      </w:tr>
      <w:tr w14:paraId="6CD920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7BC2FEB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R-11 一键启动与演示环境（12，中）</w:t>
            </w:r>
          </w:p>
        </w:tc>
        <w:tc>
          <w:tcPr>
            <w:tcW w:w="1474" w:type="dxa"/>
            <w:vAlign w:val="center"/>
          </w:tcPr>
          <w:p w14:paraId="36575C6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M8（12-30），答辩前两周</w:t>
            </w:r>
          </w:p>
        </w:tc>
        <w:tc>
          <w:tcPr>
            <w:tcW w:w="2268" w:type="dxa"/>
            <w:vAlign w:val="center"/>
          </w:tcPr>
          <w:p w14:paraId="3C5C1C4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一键脚本+版本锁定；全新目录走查 README；双环境离线彩排</w:t>
            </w:r>
          </w:p>
        </w:tc>
        <w:tc>
          <w:tcPr>
            <w:tcW w:w="2041" w:type="dxa"/>
            <w:vAlign w:val="center"/>
          </w:tcPr>
          <w:p w14:paraId="5401D19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切换备用笔记本；播放录屏；全程使用无 Key Mock 模式</w:t>
            </w:r>
          </w:p>
        </w:tc>
        <w:tc>
          <w:tcPr>
            <w:tcW w:w="1304" w:type="dxa"/>
            <w:vAlign w:val="center"/>
          </w:tcPr>
          <w:p w14:paraId="6A2D163E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干净环境走查结果、彩排启动耗时</w:t>
            </w:r>
          </w:p>
        </w:tc>
      </w:tr>
    </w:tbl>
    <w:p w14:paraId="0687679C">
      <w:pPr>
        <w:pBdr>
          <w:bottom w:val="single" w:color="2E74B5" w:sz="12" w:space="3"/>
        </w:pBdr>
        <w:spacing w:before="320" w:after="120"/>
      </w:pPr>
      <w:r>
        <w:rPr>
          <w:rFonts w:ascii="微软雅黑" w:hAnsi="微软雅黑" w:eastAsia="微软雅黑"/>
          <w:b/>
          <w:color w:val="1F3864"/>
          <w:sz w:val="30"/>
        </w:rPr>
        <w:t>七  里程碑与风险监控点</w:t>
      </w:r>
    </w:p>
    <w:p w14:paraId="042921B3">
      <w:pPr>
        <w:spacing w:after="120"/>
        <w:ind w:firstLine="420"/>
      </w:pPr>
      <w:r>
        <w:rPr>
          <w:rFonts w:ascii="微软雅黑" w:hAnsi="微软雅黑" w:eastAsia="微软雅黑"/>
          <w:b w:val="0"/>
          <w:sz w:val="21"/>
        </w:rPr>
        <w:t>里程碑日期与 WBS 波次、甘特图保持一致；每个里程碑同时是风险评审门，未通过退出标准则不进入下一阶段。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737"/>
        <w:gridCol w:w="850"/>
        <w:gridCol w:w="2608"/>
        <w:gridCol w:w="2268"/>
        <w:gridCol w:w="2268"/>
      </w:tblGrid>
      <w:tr w14:paraId="40AE20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737" w:type="dxa"/>
            <w:shd w:val="clear" w:color="auto" w:fill="1F3864"/>
            <w:vAlign w:val="center"/>
          </w:tcPr>
          <w:p w14:paraId="1D2ED8C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5F2D86A8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25A20744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退出标准（门）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1D14FF31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重点检查风险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65F7227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通过证据</w:t>
            </w:r>
          </w:p>
        </w:tc>
      </w:tr>
      <w:tr w14:paraId="1EB389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1950B5C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850" w:type="dxa"/>
            <w:vAlign w:val="center"/>
          </w:tcPr>
          <w:p w14:paraId="00E5842E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10-13</w:t>
            </w:r>
          </w:p>
        </w:tc>
        <w:tc>
          <w:tcPr>
            <w:tcW w:w="2608" w:type="dxa"/>
            <w:vAlign w:val="center"/>
          </w:tcPr>
          <w:p w14:paraId="4C3C2FBE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需求基线 V4 冻结</w:t>
            </w:r>
          </w:p>
        </w:tc>
        <w:tc>
          <w:tcPr>
            <w:tcW w:w="2268" w:type="dxa"/>
            <w:vAlign w:val="center"/>
          </w:tcPr>
          <w:p w14:paraId="03F528A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R-06 需求蔓延、R-14 数据代表性</w:t>
            </w:r>
          </w:p>
        </w:tc>
        <w:tc>
          <w:tcPr>
            <w:tcW w:w="2268" w:type="dxa"/>
            <w:vAlign w:val="center"/>
          </w:tcPr>
          <w:p w14:paraId="2E77C298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范围、Open Questions 均有默认方案</w:t>
            </w:r>
          </w:p>
        </w:tc>
      </w:tr>
      <w:tr w14:paraId="29DDFC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737" w:type="dxa"/>
            <w:shd w:val="clear" w:color="auto" w:fill="F6F9FC"/>
            <w:vAlign w:val="center"/>
          </w:tcPr>
          <w:p w14:paraId="0212CA32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w="850" w:type="dxa"/>
            <w:shd w:val="clear" w:color="auto" w:fill="F6F9FC"/>
            <w:vAlign w:val="center"/>
          </w:tcPr>
          <w:p w14:paraId="7744064D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10-22</w:t>
            </w:r>
          </w:p>
        </w:tc>
        <w:tc>
          <w:tcPr>
            <w:tcW w:w="2608" w:type="dxa"/>
            <w:shd w:val="clear" w:color="auto" w:fill="F6F9FC"/>
            <w:vAlign w:val="center"/>
          </w:tcPr>
          <w:p w14:paraId="0135D337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详细设计评审通过（9 角色卡/ACL/ER/状态机）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5EBE4697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R-02 LangGraph 预研、R-04 参数合理性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10B78A0D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TR-1.1/TR-1.2 证据齐备；Spike 结论可行</w:t>
            </w:r>
          </w:p>
        </w:tc>
      </w:tr>
      <w:tr w14:paraId="404602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1A998D69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w="850" w:type="dxa"/>
            <w:vAlign w:val="center"/>
          </w:tcPr>
          <w:p w14:paraId="32160F2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11-10</w:t>
            </w:r>
          </w:p>
        </w:tc>
        <w:tc>
          <w:tcPr>
            <w:tcW w:w="2608" w:type="dxa"/>
            <w:vAlign w:val="center"/>
          </w:tcPr>
          <w:p w14:paraId="4904494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通信内核+主编排 happy path 贯通</w:t>
            </w:r>
          </w:p>
        </w:tc>
        <w:tc>
          <w:tcPr>
            <w:tcW w:w="2268" w:type="dxa"/>
            <w:vAlign w:val="center"/>
          </w:tcPr>
          <w:p w14:paraId="521C62E2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R-02、R-03 锁方案、R-05 进度</w:t>
            </w:r>
          </w:p>
        </w:tc>
        <w:tc>
          <w:tcPr>
            <w:tcW w:w="2268" w:type="dxa"/>
            <w:vAlign w:val="center"/>
          </w:tcPr>
          <w:p w14:paraId="60B7FD62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桩节点走通主图；无 Key 正常启动</w:t>
            </w:r>
          </w:p>
        </w:tc>
      </w:tr>
      <w:tr w14:paraId="12ADD5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737" w:type="dxa"/>
            <w:shd w:val="clear" w:color="auto" w:fill="F6F9FC"/>
            <w:vAlign w:val="center"/>
          </w:tcPr>
          <w:p w14:paraId="4DC5633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w="850" w:type="dxa"/>
            <w:shd w:val="clear" w:color="auto" w:fill="F6F9FC"/>
            <w:vAlign w:val="center"/>
          </w:tcPr>
          <w:p w14:paraId="1B014FAE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12-05</w:t>
            </w:r>
          </w:p>
        </w:tc>
        <w:tc>
          <w:tcPr>
            <w:tcW w:w="2608" w:type="dxa"/>
            <w:shd w:val="clear" w:color="auto" w:fill="F6F9FC"/>
            <w:vAlign w:val="center"/>
          </w:tcPr>
          <w:p w14:paraId="1CA1753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 类 Agent 全部就绪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5FA637D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R-01 LLM 兜底、R-13 审核质量、R-05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3BE70DA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T9–T16 单测全绿；RuleLLM 输出合法</w:t>
            </w:r>
          </w:p>
        </w:tc>
      </w:tr>
      <w:tr w14:paraId="39D233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B024CD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M5</w:t>
            </w:r>
          </w:p>
        </w:tc>
        <w:tc>
          <w:tcPr>
            <w:tcW w:w="850" w:type="dxa"/>
            <w:vAlign w:val="center"/>
          </w:tcPr>
          <w:p w14:paraId="21274DF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12-11</w:t>
            </w:r>
          </w:p>
        </w:tc>
        <w:tc>
          <w:tcPr>
            <w:tcW w:w="2608" w:type="dxa"/>
            <w:vAlign w:val="center"/>
          </w:tcPr>
          <w:p w14:paraId="01D6543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四级检测+三级决策全链路贯通</w:t>
            </w:r>
          </w:p>
        </w:tc>
        <w:tc>
          <w:tcPr>
            <w:tcW w:w="2268" w:type="dxa"/>
            <w:vAlign w:val="center"/>
          </w:tcPr>
          <w:p w14:paraId="7662486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R-04 机制效果、R-07 interrupt、R-09 veto</w:t>
            </w:r>
          </w:p>
        </w:tc>
        <w:tc>
          <w:tcPr>
            <w:tcW w:w="2268" w:type="dxa"/>
            <w:vAlign w:val="center"/>
          </w:tcPr>
          <w:p w14:paraId="5B99DB9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C1/C3/C5/C6/C8 剧本断言通过</w:t>
            </w:r>
          </w:p>
        </w:tc>
      </w:tr>
      <w:tr w14:paraId="6766EE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737" w:type="dxa"/>
            <w:shd w:val="clear" w:color="auto" w:fill="F6F9FC"/>
            <w:vAlign w:val="center"/>
          </w:tcPr>
          <w:p w14:paraId="20DD2D4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M6</w:t>
            </w:r>
          </w:p>
        </w:tc>
        <w:tc>
          <w:tcPr>
            <w:tcW w:w="850" w:type="dxa"/>
            <w:shd w:val="clear" w:color="auto" w:fill="F6F9FC"/>
            <w:vAlign w:val="center"/>
          </w:tcPr>
          <w:p w14:paraId="2442E46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12-20</w:t>
            </w:r>
          </w:p>
        </w:tc>
        <w:tc>
          <w:tcPr>
            <w:tcW w:w="2608" w:type="dxa"/>
            <w:shd w:val="clear" w:color="auto" w:fill="F6F9FC"/>
            <w:vAlign w:val="center"/>
          </w:tcPr>
          <w:p w14:paraId="54D43760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前后端联调、交易主链路 E2E 贯通（AC-2）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5E0EA88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R-03 并发、R-08 WS、R-10 前端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4C1E1E7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发布→评价全旅程可操作；并发恰一成交</w:t>
            </w:r>
          </w:p>
        </w:tc>
      </w:tr>
      <w:tr w14:paraId="271C69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592C4EDB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M7</w:t>
            </w:r>
          </w:p>
        </w:tc>
        <w:tc>
          <w:tcPr>
            <w:tcW w:w="850" w:type="dxa"/>
            <w:vAlign w:val="center"/>
          </w:tcPr>
          <w:p w14:paraId="48F9B9B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12-26</w:t>
            </w:r>
          </w:p>
        </w:tc>
        <w:tc>
          <w:tcPr>
            <w:tcW w:w="2608" w:type="dxa"/>
            <w:vAlign w:val="center"/>
          </w:tcPr>
          <w:p w14:paraId="0877B24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≥10 剧本+全量测试通过、无 Key 回归</w:t>
            </w:r>
          </w:p>
        </w:tc>
        <w:tc>
          <w:tcPr>
            <w:tcW w:w="2268" w:type="dxa"/>
            <w:vAlign w:val="center"/>
          </w:tcPr>
          <w:p w14:paraId="71EDCC4A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R-12 覆盖、R-01 故障注入</w:t>
            </w:r>
          </w:p>
        </w:tc>
        <w:tc>
          <w:tcPr>
            <w:tcW w:w="2268" w:type="dxa"/>
            <w:vAlign w:val="center"/>
          </w:tcPr>
          <w:p w14:paraId="7C854BA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pytest 全绿；C1–C8 对照表通过</w:t>
            </w:r>
          </w:p>
        </w:tc>
      </w:tr>
      <w:tr w14:paraId="1E22DA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737" w:type="dxa"/>
            <w:shd w:val="clear" w:color="auto" w:fill="F6F9FC"/>
            <w:vAlign w:val="center"/>
          </w:tcPr>
          <w:p w14:paraId="064C90F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M8</w:t>
            </w:r>
          </w:p>
        </w:tc>
        <w:tc>
          <w:tcPr>
            <w:tcW w:w="850" w:type="dxa"/>
            <w:shd w:val="clear" w:color="auto" w:fill="F6F9FC"/>
            <w:vAlign w:val="center"/>
          </w:tcPr>
          <w:p w14:paraId="59A70897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12-30</w:t>
            </w:r>
          </w:p>
        </w:tc>
        <w:tc>
          <w:tcPr>
            <w:tcW w:w="2608" w:type="dxa"/>
            <w:shd w:val="clear" w:color="auto" w:fill="F6F9FC"/>
            <w:vAlign w:val="center"/>
          </w:tcPr>
          <w:p w14:paraId="30DBFFF0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 冻结、一键启动交付、集成缓冲关闭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1421A88E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R-11 可复现、R-16 演示、R-18 资产</w:t>
            </w:r>
          </w:p>
        </w:tc>
        <w:tc>
          <w:tcPr>
            <w:tcW w:w="2268" w:type="dxa"/>
            <w:shd w:val="clear" w:color="auto" w:fill="F6F9FC"/>
            <w:vAlign w:val="center"/>
          </w:tcPr>
          <w:p w14:paraId="3B5CC90A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干净环境走查通过；素材归档完成</w:t>
            </w:r>
          </w:p>
        </w:tc>
      </w:tr>
      <w:tr w14:paraId="4EDF19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55BED973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M9</w:t>
            </w:r>
          </w:p>
        </w:tc>
        <w:tc>
          <w:tcPr>
            <w:tcW w:w="850" w:type="dxa"/>
            <w:vAlign w:val="center"/>
          </w:tcPr>
          <w:p w14:paraId="74081925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01-10</w:t>
            </w:r>
          </w:p>
        </w:tc>
        <w:tc>
          <w:tcPr>
            <w:tcW w:w="2608" w:type="dxa"/>
            <w:vAlign w:val="center"/>
          </w:tcPr>
          <w:p w14:paraId="59A09EC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结题答辩</w:t>
            </w:r>
          </w:p>
        </w:tc>
        <w:tc>
          <w:tcPr>
            <w:tcW w:w="2268" w:type="dxa"/>
            <w:vAlign w:val="center"/>
          </w:tcPr>
          <w:p w14:paraId="0E3EE6D9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R-16 现场风险</w:t>
            </w:r>
          </w:p>
        </w:tc>
        <w:tc>
          <w:tcPr>
            <w:tcW w:w="2268" w:type="dxa"/>
            <w:vAlign w:val="center"/>
          </w:tcPr>
          <w:p w14:paraId="6DDA9B6A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两次离线彩排成功；录屏备份就位</w:t>
            </w:r>
          </w:p>
        </w:tc>
      </w:tr>
    </w:tbl>
    <w:p w14:paraId="3C62DFEE">
      <w:pPr>
        <w:pBdr>
          <w:bottom w:val="single" w:color="2E74B5" w:sz="12" w:space="3"/>
        </w:pBdr>
        <w:spacing w:before="320" w:after="120"/>
      </w:pPr>
      <w:r>
        <w:rPr>
          <w:rFonts w:ascii="微软雅黑" w:hAnsi="微软雅黑" w:eastAsia="微软雅黑"/>
          <w:b/>
          <w:color w:val="1F3864"/>
          <w:sz w:val="30"/>
        </w:rPr>
        <w:t>八  应急储备与降级策略</w:t>
      </w:r>
    </w:p>
    <w:p w14:paraId="5365BCC5">
      <w:pPr>
        <w:spacing w:before="200" w:after="80"/>
      </w:pPr>
      <w:r>
        <w:rPr>
          <w:rFonts w:ascii="微软雅黑" w:hAnsi="微软雅黑" w:eastAsia="微软雅黑"/>
          <w:b/>
          <w:color w:val="2E74B5"/>
          <w:sz w:val="24"/>
        </w:rPr>
        <w:t>▍8.1 进度与范围储备</w:t>
      </w:r>
    </w:p>
    <w:p w14:paraId="184285E5">
      <w:pPr>
        <w:pStyle w:val="16"/>
        <w:spacing w:after="40"/>
      </w:pPr>
      <w:r>
        <w:rPr>
          <w:rFonts w:ascii="微软雅黑" w:hAnsi="微软雅黑" w:eastAsia="微软雅黑"/>
          <w:sz w:val="20"/>
        </w:rPr>
        <w:t>时间缓冲：12-24 — 12-30 设置 5 个工作日集成联调缓冲（约占开发工期 15%），仅用于高风险触发与缺陷修复，不得提前占用。</w:t>
      </w:r>
    </w:p>
    <w:p w14:paraId="70C46E7F">
      <w:pPr>
        <w:pStyle w:val="16"/>
        <w:spacing w:after="40"/>
      </w:pPr>
      <w:r>
        <w:rPr>
          <w:rFonts w:ascii="微软雅黑" w:hAnsi="微软雅黑" w:eastAsia="微软雅黑"/>
          <w:sz w:val="20"/>
        </w:rPr>
        <w:t>范围储备（裁剪顺序）：T32 Docker Compose → T30 权重实验工具 → T27 监控大屏 → 非关键页面美化；P0（FR-1～FR-14、AC-1～AC-12）任何情况下不裁剪。</w:t>
      </w:r>
    </w:p>
    <w:p w14:paraId="3BEF7EA8">
      <w:pPr>
        <w:pStyle w:val="16"/>
        <w:spacing w:after="40"/>
      </w:pPr>
      <w:r>
        <w:rPr>
          <w:rFonts w:ascii="微软雅黑" w:hAnsi="微软雅黑" w:eastAsia="微软雅黑"/>
          <w:sz w:val="20"/>
        </w:rPr>
        <w:t>人力储备：指导教师每周固定答疑窗口；高风险触发时 24 小时内发起专题咨询。</w:t>
      </w:r>
    </w:p>
    <w:p w14:paraId="50987425">
      <w:pPr>
        <w:spacing w:before="200" w:after="80"/>
      </w:pPr>
      <w:r>
        <w:rPr>
          <w:rFonts w:ascii="微软雅黑" w:hAnsi="微软雅黑" w:eastAsia="微软雅黑"/>
          <w:b/>
          <w:color w:val="2E74B5"/>
          <w:sz w:val="24"/>
        </w:rPr>
        <w:t>▍8.2 技术降级链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1247"/>
        <w:gridCol w:w="2381"/>
        <w:gridCol w:w="3061"/>
        <w:gridCol w:w="2041"/>
      </w:tblGrid>
      <w:tr w14:paraId="249307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247" w:type="dxa"/>
            <w:shd w:val="clear" w:color="auto" w:fill="1F3864"/>
            <w:vAlign w:val="center"/>
          </w:tcPr>
          <w:p w14:paraId="16610C1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层面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27B9FAD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首选方案</w:t>
            </w:r>
          </w:p>
        </w:tc>
        <w:tc>
          <w:tcPr>
            <w:tcW w:w="3061" w:type="dxa"/>
            <w:shd w:val="clear" w:color="auto" w:fill="1F3864"/>
            <w:vAlign w:val="center"/>
          </w:tcPr>
          <w:p w14:paraId="3569B1C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降级 / 兜底方案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5218BAE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最终手段</w:t>
            </w:r>
          </w:p>
        </w:tc>
      </w:tr>
      <w:tr w14:paraId="41B404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E3D210F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大模型能力</w:t>
            </w:r>
          </w:p>
        </w:tc>
        <w:tc>
          <w:tcPr>
            <w:tcW w:w="2381" w:type="dxa"/>
            <w:vAlign w:val="center"/>
          </w:tcPr>
          <w:p w14:paraId="60FE1A1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DeepSeek V4（结构化输出）</w:t>
            </w:r>
          </w:p>
        </w:tc>
        <w:tc>
          <w:tcPr>
            <w:tcW w:w="3061" w:type="dxa"/>
            <w:vAlign w:val="center"/>
          </w:tcPr>
          <w:p w14:paraId="7F80E271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重试 3 次 → RuleLLM 确定性规则引擎</w:t>
            </w:r>
          </w:p>
        </w:tc>
        <w:tc>
          <w:tcPr>
            <w:tcW w:w="2041" w:type="dxa"/>
            <w:vAlign w:val="center"/>
          </w:tcPr>
          <w:p w14:paraId="3032D30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转人工工作台处理</w:t>
            </w:r>
          </w:p>
        </w:tc>
      </w:tr>
      <w:tr w14:paraId="5B3596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247" w:type="dxa"/>
            <w:shd w:val="clear" w:color="auto" w:fill="F6F9FC"/>
            <w:vAlign w:val="center"/>
          </w:tcPr>
          <w:p w14:paraId="3DA75D4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编排框架</w:t>
            </w:r>
          </w:p>
        </w:tc>
        <w:tc>
          <w:tcPr>
            <w:tcW w:w="2381" w:type="dxa"/>
            <w:shd w:val="clear" w:color="auto" w:fill="F6F9FC"/>
            <w:vAlign w:val="center"/>
          </w:tcPr>
          <w:p w14:paraId="01A0797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LangGraph 1.2.x 图+Checkpointer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7F4C38F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回退已验证小版本</w:t>
            </w:r>
          </w:p>
        </w:tc>
        <w:tc>
          <w:tcPr>
            <w:tcW w:w="2041" w:type="dxa"/>
            <w:shd w:val="clear" w:color="auto" w:fill="F6F9FC"/>
            <w:vAlign w:val="center"/>
          </w:tcPr>
          <w:p w14:paraId="3A6789E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手写状态机承载主链路</w:t>
            </w:r>
          </w:p>
        </w:tc>
      </w:tr>
      <w:tr w14:paraId="76416B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99A40A6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实时通道</w:t>
            </w:r>
          </w:p>
        </w:tc>
        <w:tc>
          <w:tcPr>
            <w:tcW w:w="2381" w:type="dxa"/>
            <w:vAlign w:val="center"/>
          </w:tcPr>
          <w:p w14:paraId="282D0732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议价室 WebSocket</w:t>
            </w:r>
          </w:p>
        </w:tc>
        <w:tc>
          <w:tcPr>
            <w:tcW w:w="3061" w:type="dxa"/>
            <w:vAlign w:val="center"/>
          </w:tcPr>
          <w:p w14:paraId="7935432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HTTP 短轮询 + 服务端权威状态</w:t>
            </w:r>
          </w:p>
        </w:tc>
        <w:tc>
          <w:tcPr>
            <w:tcW w:w="2041" w:type="dxa"/>
            <w:vAlign w:val="center"/>
          </w:tcPr>
          <w:p w14:paraId="5583F711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页面刷新拉取</w:t>
            </w:r>
          </w:p>
        </w:tc>
      </w:tr>
      <w:tr w14:paraId="2D3316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247" w:type="dxa"/>
            <w:shd w:val="clear" w:color="auto" w:fill="F6F9FC"/>
            <w:vAlign w:val="center"/>
          </w:tcPr>
          <w:p w14:paraId="1561982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部署形态</w:t>
            </w:r>
          </w:p>
        </w:tc>
        <w:tc>
          <w:tcPr>
            <w:tcW w:w="2381" w:type="dxa"/>
            <w:shd w:val="clear" w:color="auto" w:fill="F6F9FC"/>
            <w:vAlign w:val="center"/>
          </w:tcPr>
          <w:p w14:paraId="68D9B91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本机一键启动脚本（P0）</w:t>
            </w:r>
          </w:p>
        </w:tc>
        <w:tc>
          <w:tcPr>
            <w:tcW w:w="3061" w:type="dxa"/>
            <w:shd w:val="clear" w:color="auto" w:fill="F6F9FC"/>
            <w:vAlign w:val="center"/>
          </w:tcPr>
          <w:p w14:paraId="01AD675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第二台已验证设备 + 离线录屏</w:t>
            </w:r>
          </w:p>
        </w:tc>
        <w:tc>
          <w:tcPr>
            <w:tcW w:w="2041" w:type="dxa"/>
            <w:shd w:val="clear" w:color="auto" w:fill="F6F9FC"/>
            <w:vAlign w:val="center"/>
          </w:tcPr>
          <w:p w14:paraId="3F65197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录屏演示 + 口述</w:t>
            </w:r>
          </w:p>
        </w:tc>
      </w:tr>
      <w:tr w14:paraId="4B3FE4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20" w:type="dxa"/>
            <w:bottom w:w="70" w:type="dxa"/>
            <w:right w:w="120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565754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数据层</w:t>
            </w:r>
          </w:p>
        </w:tc>
        <w:tc>
          <w:tcPr>
            <w:tcW w:w="2381" w:type="dxa"/>
            <w:vAlign w:val="center"/>
          </w:tcPr>
          <w:p w14:paraId="44C1D320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SQLite(WAL) + 定时备份</w:t>
            </w:r>
          </w:p>
        </w:tc>
        <w:tc>
          <w:tcPr>
            <w:tcW w:w="3061" w:type="dxa"/>
            <w:vAlign w:val="center"/>
          </w:tcPr>
          <w:p w14:paraId="30817948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种子脚本重建 / 备份恢复</w:t>
            </w:r>
          </w:p>
        </w:tc>
        <w:tc>
          <w:tcPr>
            <w:tcW w:w="2041" w:type="dxa"/>
            <w:vAlign w:val="center"/>
          </w:tcPr>
          <w:p w14:paraId="58B73DE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内存库演示</w:t>
            </w:r>
          </w:p>
        </w:tc>
      </w:tr>
    </w:tbl>
    <w:p w14:paraId="43371C72">
      <w:pPr>
        <w:pBdr>
          <w:bottom w:val="single" w:color="2E74B5" w:sz="12" w:space="3"/>
        </w:pBdr>
        <w:spacing w:before="320" w:after="120"/>
      </w:pPr>
      <w:r>
        <w:rPr>
          <w:rFonts w:ascii="微软雅黑" w:hAnsi="微软雅黑" w:eastAsia="微软雅黑"/>
          <w:b/>
          <w:color w:val="1F3864"/>
          <w:sz w:val="30"/>
        </w:rPr>
        <w:t>九  风险沟通、评审与闭环</w:t>
      </w:r>
    </w:p>
    <w:p w14:paraId="627CE45B">
      <w:pPr>
        <w:pStyle w:val="16"/>
        <w:spacing w:after="40"/>
      </w:pPr>
      <w:r>
        <w:rPr>
          <w:rFonts w:ascii="微软雅黑" w:hAnsi="微软雅黑" w:eastAsia="微软雅黑"/>
          <w:sz w:val="20"/>
        </w:rPr>
        <w:t>周度监控：每周周报包含“风险登记册状态”小节——新增/升级/降级/关闭事项、触发指标读数、缓冲消耗。</w:t>
      </w:r>
    </w:p>
    <w:p w14:paraId="4F5F0946">
      <w:pPr>
        <w:pStyle w:val="16"/>
        <w:spacing w:after="40"/>
      </w:pPr>
      <w:r>
        <w:rPr>
          <w:rFonts w:ascii="微软雅黑" w:hAnsi="微软雅黑" w:eastAsia="微软雅黑"/>
          <w:sz w:val="20"/>
        </w:rPr>
        <w:t>升级路径：低风险留观；中风险周报通报并执行预防措施；高风险 24 小时内告知指导教师，在里程碑评审会做专项决策。</w:t>
      </w:r>
    </w:p>
    <w:p w14:paraId="4E2C5554">
      <w:pPr>
        <w:pStyle w:val="16"/>
        <w:spacing w:after="40"/>
      </w:pPr>
      <w:r>
        <w:rPr>
          <w:rFonts w:ascii="微软雅黑" w:hAnsi="微软雅黑" w:eastAsia="微软雅黑"/>
          <w:sz w:val="20"/>
        </w:rPr>
        <w:t>闭环要求：风险触发后须记录“触发时间 → 处置动作 → 结果验证 → 对计划/文档的修订”，验证有效方可关闭；无效则升级并重估 P、I。</w:t>
      </w:r>
    </w:p>
    <w:p w14:paraId="4C2E9545">
      <w:pPr>
        <w:pStyle w:val="16"/>
        <w:spacing w:after="40"/>
      </w:pPr>
      <w:r>
        <w:rPr>
          <w:rFonts w:ascii="微软雅黑" w:hAnsi="微软雅黑" w:eastAsia="微软雅黑"/>
          <w:sz w:val="20"/>
        </w:rPr>
        <w:t>基线联动：任何因风险导致的范围、进度、设计变更，须同步更新 SRS 变更候选表、任务队列与甘特图，保持三份文件一致。</w:t>
      </w:r>
    </w:p>
    <w:p w14:paraId="1D76480A">
      <w:pPr>
        <w:spacing w:before="200" w:after="80"/>
      </w:pPr>
      <w:r>
        <w:rPr>
          <w:rFonts w:ascii="微软雅黑" w:hAnsi="微软雅黑" w:eastAsia="微软雅黑"/>
          <w:b/>
          <w:color w:val="2E74B5"/>
          <w:sz w:val="24"/>
        </w:rPr>
        <w:t>▍9.1 风险闭环记录表（模板，随周报填写）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20"/>
        <w:gridCol w:w="1020"/>
        <w:gridCol w:w="2381"/>
        <w:gridCol w:w="2041"/>
        <w:gridCol w:w="1701"/>
        <w:gridCol w:w="907"/>
      </w:tblGrid>
      <w:tr w14:paraId="180364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0B9053CE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风险编号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349FF337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触发日期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0958111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触发情形描述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62D72C40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处置动作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48F1582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 / 验证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1F5219FA"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关闭日期</w:t>
            </w:r>
          </w:p>
        </w:tc>
      </w:tr>
      <w:tr w14:paraId="740FF5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61262F2E">
            <w:pPr>
              <w:spacing w:before="20" w:after="20" w:line="276" w:lineRule="auto"/>
              <w:jc w:val="center"/>
            </w:pPr>
          </w:p>
        </w:tc>
        <w:tc>
          <w:tcPr>
            <w:tcW w:w="1020" w:type="dxa"/>
            <w:vAlign w:val="center"/>
          </w:tcPr>
          <w:p w14:paraId="3DD5DF55">
            <w:pPr>
              <w:spacing w:before="20" w:after="20" w:line="276" w:lineRule="auto"/>
            </w:pPr>
          </w:p>
        </w:tc>
        <w:tc>
          <w:tcPr>
            <w:tcW w:w="2381" w:type="dxa"/>
            <w:vAlign w:val="center"/>
          </w:tcPr>
          <w:p w14:paraId="6D7837CA">
            <w:pPr>
              <w:spacing w:before="20" w:after="20" w:line="276" w:lineRule="auto"/>
            </w:pPr>
          </w:p>
        </w:tc>
        <w:tc>
          <w:tcPr>
            <w:tcW w:w="2041" w:type="dxa"/>
            <w:vAlign w:val="center"/>
          </w:tcPr>
          <w:p w14:paraId="4E5BACC0">
            <w:pPr>
              <w:spacing w:before="20" w:after="20" w:line="276" w:lineRule="auto"/>
            </w:pPr>
          </w:p>
        </w:tc>
        <w:tc>
          <w:tcPr>
            <w:tcW w:w="1701" w:type="dxa"/>
            <w:vAlign w:val="center"/>
          </w:tcPr>
          <w:p w14:paraId="6B020906">
            <w:pPr>
              <w:spacing w:before="20" w:after="20" w:line="276" w:lineRule="auto"/>
            </w:pPr>
          </w:p>
        </w:tc>
        <w:tc>
          <w:tcPr>
            <w:tcW w:w="907" w:type="dxa"/>
            <w:vAlign w:val="center"/>
          </w:tcPr>
          <w:p w14:paraId="13A7889C">
            <w:pPr>
              <w:spacing w:before="20" w:after="20" w:line="276" w:lineRule="auto"/>
            </w:pPr>
          </w:p>
        </w:tc>
      </w:tr>
      <w:tr w14:paraId="4685DD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020" w:type="dxa"/>
            <w:shd w:val="clear" w:color="auto" w:fill="F6F9FC"/>
            <w:vAlign w:val="center"/>
          </w:tcPr>
          <w:p w14:paraId="3FC941A8">
            <w:pPr>
              <w:spacing w:before="20" w:after="20" w:line="276" w:lineRule="auto"/>
              <w:jc w:val="center"/>
            </w:pPr>
          </w:p>
        </w:tc>
        <w:tc>
          <w:tcPr>
            <w:tcW w:w="1020" w:type="dxa"/>
            <w:shd w:val="clear" w:color="auto" w:fill="F6F9FC"/>
            <w:vAlign w:val="center"/>
          </w:tcPr>
          <w:p w14:paraId="23DB6A22">
            <w:pPr>
              <w:spacing w:before="20" w:after="20" w:line="276" w:lineRule="auto"/>
            </w:pPr>
          </w:p>
        </w:tc>
        <w:tc>
          <w:tcPr>
            <w:tcW w:w="2381" w:type="dxa"/>
            <w:shd w:val="clear" w:color="auto" w:fill="F6F9FC"/>
            <w:vAlign w:val="center"/>
          </w:tcPr>
          <w:p w14:paraId="3D992555">
            <w:pPr>
              <w:spacing w:before="20" w:after="20" w:line="276" w:lineRule="auto"/>
            </w:pPr>
          </w:p>
        </w:tc>
        <w:tc>
          <w:tcPr>
            <w:tcW w:w="2041" w:type="dxa"/>
            <w:shd w:val="clear" w:color="auto" w:fill="F6F9FC"/>
            <w:vAlign w:val="center"/>
          </w:tcPr>
          <w:p w14:paraId="16FF4C7D">
            <w:pPr>
              <w:spacing w:before="20" w:after="20" w:line="276" w:lineRule="auto"/>
            </w:pPr>
          </w:p>
        </w:tc>
        <w:tc>
          <w:tcPr>
            <w:tcW w:w="1701" w:type="dxa"/>
            <w:shd w:val="clear" w:color="auto" w:fill="F6F9FC"/>
            <w:vAlign w:val="center"/>
          </w:tcPr>
          <w:p w14:paraId="0C3F912E">
            <w:pPr>
              <w:spacing w:before="20" w:after="20" w:line="276" w:lineRule="auto"/>
            </w:pPr>
          </w:p>
        </w:tc>
        <w:tc>
          <w:tcPr>
            <w:tcW w:w="907" w:type="dxa"/>
            <w:shd w:val="clear" w:color="auto" w:fill="F6F9FC"/>
            <w:vAlign w:val="center"/>
          </w:tcPr>
          <w:p w14:paraId="47629464">
            <w:pPr>
              <w:spacing w:before="20" w:after="20" w:line="276" w:lineRule="auto"/>
            </w:pPr>
          </w:p>
        </w:tc>
      </w:tr>
      <w:tr w14:paraId="060110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77E84EB4">
            <w:pPr>
              <w:spacing w:before="20" w:after="20" w:line="276" w:lineRule="auto"/>
              <w:jc w:val="center"/>
            </w:pPr>
          </w:p>
        </w:tc>
        <w:tc>
          <w:tcPr>
            <w:tcW w:w="1020" w:type="dxa"/>
            <w:vAlign w:val="center"/>
          </w:tcPr>
          <w:p w14:paraId="40F23C17">
            <w:pPr>
              <w:spacing w:before="20" w:after="20" w:line="276" w:lineRule="auto"/>
            </w:pPr>
          </w:p>
        </w:tc>
        <w:tc>
          <w:tcPr>
            <w:tcW w:w="2381" w:type="dxa"/>
            <w:vAlign w:val="center"/>
          </w:tcPr>
          <w:p w14:paraId="477305AC">
            <w:pPr>
              <w:spacing w:before="20" w:after="20" w:line="276" w:lineRule="auto"/>
            </w:pPr>
          </w:p>
        </w:tc>
        <w:tc>
          <w:tcPr>
            <w:tcW w:w="2041" w:type="dxa"/>
            <w:vAlign w:val="center"/>
          </w:tcPr>
          <w:p w14:paraId="5FD6ED61">
            <w:pPr>
              <w:spacing w:before="20" w:after="20" w:line="276" w:lineRule="auto"/>
            </w:pPr>
          </w:p>
        </w:tc>
        <w:tc>
          <w:tcPr>
            <w:tcW w:w="1701" w:type="dxa"/>
            <w:vAlign w:val="center"/>
          </w:tcPr>
          <w:p w14:paraId="7F01F9E4">
            <w:pPr>
              <w:spacing w:before="20" w:after="20" w:line="276" w:lineRule="auto"/>
            </w:pPr>
          </w:p>
        </w:tc>
        <w:tc>
          <w:tcPr>
            <w:tcW w:w="907" w:type="dxa"/>
            <w:vAlign w:val="center"/>
          </w:tcPr>
          <w:p w14:paraId="362B2570">
            <w:pPr>
              <w:spacing w:before="20" w:after="20" w:line="276" w:lineRule="auto"/>
            </w:pPr>
          </w:p>
        </w:tc>
      </w:tr>
      <w:tr w14:paraId="33881C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1020" w:type="dxa"/>
            <w:shd w:val="clear" w:color="auto" w:fill="F6F9FC"/>
            <w:vAlign w:val="center"/>
          </w:tcPr>
          <w:p w14:paraId="6B412DD9">
            <w:pPr>
              <w:spacing w:before="20" w:after="20" w:line="276" w:lineRule="auto"/>
              <w:jc w:val="center"/>
            </w:pPr>
          </w:p>
        </w:tc>
        <w:tc>
          <w:tcPr>
            <w:tcW w:w="1020" w:type="dxa"/>
            <w:shd w:val="clear" w:color="auto" w:fill="F6F9FC"/>
            <w:vAlign w:val="center"/>
          </w:tcPr>
          <w:p w14:paraId="4E32A7F2">
            <w:pPr>
              <w:spacing w:before="20" w:after="20" w:line="276" w:lineRule="auto"/>
            </w:pPr>
          </w:p>
        </w:tc>
        <w:tc>
          <w:tcPr>
            <w:tcW w:w="2381" w:type="dxa"/>
            <w:shd w:val="clear" w:color="auto" w:fill="F6F9FC"/>
            <w:vAlign w:val="center"/>
          </w:tcPr>
          <w:p w14:paraId="1E95F26D">
            <w:pPr>
              <w:spacing w:before="20" w:after="20" w:line="276" w:lineRule="auto"/>
            </w:pPr>
          </w:p>
        </w:tc>
        <w:tc>
          <w:tcPr>
            <w:tcW w:w="2041" w:type="dxa"/>
            <w:shd w:val="clear" w:color="auto" w:fill="F6F9FC"/>
            <w:vAlign w:val="center"/>
          </w:tcPr>
          <w:p w14:paraId="320C67EC">
            <w:pPr>
              <w:spacing w:before="20" w:after="20" w:line="276" w:lineRule="auto"/>
            </w:pPr>
          </w:p>
        </w:tc>
        <w:tc>
          <w:tcPr>
            <w:tcW w:w="1701" w:type="dxa"/>
            <w:shd w:val="clear" w:color="auto" w:fill="F6F9FC"/>
            <w:vAlign w:val="center"/>
          </w:tcPr>
          <w:p w14:paraId="310253A0">
            <w:pPr>
              <w:spacing w:before="20" w:after="20" w:line="276" w:lineRule="auto"/>
            </w:pPr>
          </w:p>
        </w:tc>
        <w:tc>
          <w:tcPr>
            <w:tcW w:w="907" w:type="dxa"/>
            <w:shd w:val="clear" w:color="auto" w:fill="F6F9FC"/>
            <w:vAlign w:val="center"/>
          </w:tcPr>
          <w:p w14:paraId="16C136A8">
            <w:pPr>
              <w:spacing w:before="20" w:after="20" w:line="276" w:lineRule="auto"/>
            </w:pPr>
          </w:p>
        </w:tc>
      </w:tr>
    </w:tbl>
    <w:p w14:paraId="0258CEF0">
      <w:pPr>
        <w:pBdr>
          <w:bottom w:val="single" w:color="2E74B5" w:sz="12" w:space="3"/>
        </w:pBdr>
        <w:spacing w:before="320" w:after="120"/>
      </w:pPr>
      <w:r>
        <w:rPr>
          <w:rFonts w:ascii="微软雅黑" w:hAnsi="微软雅黑" w:eastAsia="微软雅黑"/>
          <w:b/>
          <w:color w:val="1F3864"/>
          <w:sz w:val="30"/>
        </w:rPr>
        <w:t>附录  风险检查清单（每周逐项过一遍）</w:t>
      </w:r>
    </w:p>
    <w:p w14:paraId="7122E54B">
      <w:pPr>
        <w:pStyle w:val="16"/>
        <w:spacing w:after="40"/>
      </w:pPr>
      <w:r>
        <w:rPr>
          <w:rFonts w:ascii="微软雅黑" w:hAnsi="微软雅黑" w:eastAsia="微软雅黑"/>
          <w:sz w:val="19"/>
        </w:rPr>
        <w:t>本周是否有任务偏离计划超过 1 天？关键路径任务是否阻塞？</w:t>
      </w:r>
    </w:p>
    <w:p w14:paraId="6FC1FABE">
      <w:pPr>
        <w:pStyle w:val="16"/>
        <w:spacing w:after="40"/>
      </w:pPr>
      <w:r>
        <w:rPr>
          <w:rFonts w:ascii="微软雅黑" w:hAnsi="微软雅黑" w:eastAsia="微软雅黑"/>
          <w:sz w:val="19"/>
        </w:rPr>
        <w:t>无 API Key 环境下系统能否完整启动并跑通主链路？LLM 失败率与耗时是否在阈值内？</w:t>
      </w:r>
    </w:p>
    <w:p w14:paraId="54D27795">
      <w:pPr>
        <w:pStyle w:val="16"/>
        <w:spacing w:after="40"/>
      </w:pPr>
      <w:r>
        <w:rPr>
          <w:rFonts w:ascii="微软雅黑" w:hAnsi="微软雅黑" w:eastAsia="微软雅黑"/>
          <w:sz w:val="19"/>
        </w:rPr>
        <w:t>并发抢单测试是否仍然 0 超卖？锁是否存在未释放记录？</w:t>
      </w:r>
    </w:p>
    <w:p w14:paraId="2B33D0F5">
      <w:pPr>
        <w:pStyle w:val="16"/>
        <w:spacing w:after="40"/>
      </w:pPr>
      <w:r>
        <w:rPr>
          <w:rFonts w:ascii="微软雅黑" w:hAnsi="微软雅黑" w:eastAsia="微软雅黑"/>
          <w:sz w:val="19"/>
        </w:rPr>
        <w:t>C1–C8 剧本本周是否全部可运行、断言与期望是否一致？</w:t>
      </w:r>
    </w:p>
    <w:p w14:paraId="6854CD7B">
      <w:pPr>
        <w:pStyle w:val="16"/>
        <w:spacing w:after="40"/>
      </w:pPr>
      <w:r>
        <w:rPr>
          <w:rFonts w:ascii="微软雅黑" w:hAnsi="微软雅黑" w:eastAsia="微软雅黑"/>
          <w:sz w:val="19"/>
        </w:rPr>
        <w:t>veto 对抗测试、越权接口测试是否仍全部通过？</w:t>
      </w:r>
    </w:p>
    <w:p w14:paraId="02536801">
      <w:pPr>
        <w:pStyle w:val="16"/>
        <w:spacing w:after="40"/>
      </w:pPr>
      <w:r>
        <w:rPr>
          <w:rFonts w:ascii="微软雅黑" w:hAnsi="微软雅黑" w:eastAsia="微软雅黑"/>
          <w:sz w:val="19"/>
        </w:rPr>
        <w:t>interrupt 挂起的三级案件能否正确恢复、终裁后状态是否流转？</w:t>
      </w:r>
    </w:p>
    <w:p w14:paraId="07853BAE">
      <w:pPr>
        <w:pStyle w:val="16"/>
        <w:spacing w:after="40"/>
      </w:pPr>
      <w:r>
        <w:rPr>
          <w:rFonts w:ascii="微软雅黑" w:hAnsi="微软雅黑" w:eastAsia="微软雅黑"/>
          <w:sz w:val="19"/>
        </w:rPr>
        <w:t>新增需求是否经过评估并记入变更候选，而非直接开发？</w:t>
      </w:r>
    </w:p>
    <w:p w14:paraId="1B604D64">
      <w:pPr>
        <w:pStyle w:val="16"/>
        <w:spacing w:after="40"/>
      </w:pPr>
      <w:r>
        <w:rPr>
          <w:rFonts w:ascii="微软雅黑" w:hAnsi="微软雅黑" w:eastAsia="微软雅黑"/>
          <w:sz w:val="19"/>
        </w:rPr>
        <w:t>截图、周报、决策轨迹等交付素材是否已同步归档？</w:t>
      </w:r>
    </w:p>
    <w:p w14:paraId="5C289EC6">
      <w:pPr>
        <w:pStyle w:val="16"/>
        <w:spacing w:after="40"/>
      </w:pPr>
      <w:r>
        <w:rPr>
          <w:rFonts w:ascii="微软雅黑" w:hAnsi="微软雅黑" w:eastAsia="微软雅黑"/>
          <w:sz w:val="19"/>
        </w:rPr>
        <w:t>依赖是否出现弃用/漏洞公告？锁定版本是否仍可安装？</w:t>
      </w:r>
    </w:p>
    <w:p w14:paraId="2486EF76">
      <w:pPr>
        <w:pStyle w:val="16"/>
        <w:spacing w:after="40"/>
      </w:pPr>
      <w:r>
        <w:rPr>
          <w:rFonts w:ascii="微软雅黑" w:hAnsi="微软雅黑" w:eastAsia="微软雅黑"/>
          <w:sz w:val="19"/>
        </w:rPr>
        <w:t>距离下一里程碑还有几个工作日、缓冲还剩多少？</w:t>
      </w:r>
    </w:p>
    <w:p w14:paraId="79A279FF">
      <w:pPr>
        <w:spacing w:before="360"/>
        <w:jc w:val="center"/>
      </w:pPr>
    </w:p>
    <w:sectPr>
      <w:footerReference r:id="rId5" w:type="default"/>
      <w:pgSz w:w="11906" w:h="16838"/>
      <w:pgMar w:top="1247" w:right="1304" w:bottom="1247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230FC">
    <w:pPr>
      <w:pStyle w:val="24"/>
      <w:jc w:val="center"/>
    </w:pPr>
    <w:r>
      <w:rPr>
        <w:rFonts w:ascii="微软雅黑" w:hAnsi="微软雅黑" w:eastAsia="微软雅黑"/>
        <w:color w:val="595959"/>
        <w:sz w:val="16"/>
      </w:rPr>
      <w:t xml:space="preserve">校园二手交易平台 Multi-Agent 系统 · 项目风险计划 RMP-MAS-2026-001    第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rFonts w:ascii="微软雅黑" w:hAnsi="微软雅黑" w:eastAsia="微软雅黑"/>
        <w:color w:val="59595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04BDE"/>
    <w:rsid w:val="6096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4318</Words>
  <Characters>5337</Characters>
  <Lines>0</Lines>
  <Paragraphs>0</Paragraphs>
  <TotalTime>0</TotalTime>
  <ScaleCrop>false</ScaleCrop>
  <LinksUpToDate>false</LinksUpToDate>
  <CharactersWithSpaces>5721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纵殇</cp:lastModifiedBy>
  <dcterms:modified xsi:type="dcterms:W3CDTF">2026-10-14T02:41:40Z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eyJoZGlkIjoiMDljYzUzMWQ4OWI0YzBkYjYzMDRhZTY5ZjZkYmFmYTgiLCJ1c2VySWQiOiIxMjcwNjYzMzAxIn0=</vt:lpwstr>
  </property>
  <property fmtid="{D5CDD505-2E9C-101B-9397-08002B2CF9AE}" pid="3" name="KSOProductBuildVer">
    <vt:lpwstr>2052-12.1.0.28505</vt:lpwstr>
  </property>
  <property fmtid="{D5CDD505-2E9C-101B-9397-08002B2CF9AE}" pid="4" name="ICV">
    <vt:lpwstr>5C5BAD71231746A08037B20F7256D106_12</vt:lpwstr>
  </property>
</Properties>
</file>