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rFonts w:ascii="Arial" w:cs="Arial" w:eastAsia="Arial" w:hAnsi="Arial"/>
          <w:b/>
          <w:bCs/>
          <w:caps/>
          <w:color w:val="999999"/>
          <w:sz w:val="28"/>
          <w:szCs w:val="28"/>
        </w:rPr>
        <w:t xml:space="preserve">RELATÓRIO DE INTELIGÊNCIA DE MERCADO</w:t>
      </w:r>
    </w:p>
    <w:p>
      <w:pPr>
        <w:spacing w:before="160" w:after="0"/>
        <w:jc w:val="center"/>
      </w:pPr>
      <w:r>
        <w:rPr>
          <w:rFonts w:ascii="Arial" w:cs="Arial" w:eastAsia="Arial" w:hAnsi="Arial"/>
          <w:b/>
          <w:bCs/>
          <w:color w:val="1A3A5C"/>
          <w:sz w:val="56"/>
          <w:szCs w:val="56"/>
        </w:rPr>
        <w:t xml:space="preserve">Mudanças de Consumo, Mercado e Hábitos</w:t>
      </w:r>
    </w:p>
    <w:p>
      <w:pPr>
        <w:spacing w:before="80" w:after="0"/>
        <w:jc w:val="center"/>
      </w:pPr>
      <w:r>
        <w:rPr>
          <w:rFonts w:ascii="Arial" w:cs="Arial" w:eastAsia="Arial" w:hAnsi="Arial"/>
          <w:b/>
          <w:bCs/>
          <w:color w:val="C0392B"/>
          <w:sz w:val="36"/>
          <w:szCs w:val="36"/>
        </w:rPr>
        <w:t xml:space="preserve">Outubro 2025 – Março 2026</w:t>
      </w:r>
    </w:p>
    <w:p>
      <w:pPr>
        <w:pBdr>
          <w:top w:val="single" w:color="2E74B5" w:sz="4" w:space="10"/>
        </w:pBdr>
        <w:spacing w:before="320" w:after="0"/>
        <w:jc w:val="center"/>
      </w:pPr>
    </w:p>
    <w:p>
      <w:pPr>
        <w:spacing w:before="160" w:after="0"/>
        <w:jc w:val="center"/>
      </w:pPr>
      <w:r>
        <w:rPr>
          <w:rFonts w:ascii="Arial" w:cs="Arial" w:eastAsia="Arial" w:hAnsi="Arial"/>
          <w:i/>
          <w:iCs/>
          <w:color w:val="777777"/>
          <w:sz w:val="18"/>
          <w:szCs w:val="18"/>
        </w:rPr>
        <w:t xml:space="preserve">Elaborado com base em: Worldpanel by Numerator • McKinsey ConsumerWise • Scanntech • IBGE/CAGED • XP Investimentos • IAB Brasil • AWS • ABComm • FGV IBRE</w:t>
      </w:r>
    </w:p>
    <w:p>
      <w:pPr>
        <w:spacing w:before="80" w:after="2400"/>
        <w:jc w:val="center"/>
      </w:pPr>
      <w:r>
        <w:rPr>
          <w:rFonts w:ascii="Arial" w:cs="Arial" w:eastAsia="Arial" w:hAnsi="Arial"/>
          <w:color w:val="777777"/>
          <w:sz w:val="18"/>
          <w:szCs w:val="18"/>
        </w:rPr>
        <w:t xml:space="preserve">Fevereiro de 2026 — Belo Horizonte / Brasil</w:t>
      </w:r>
    </w:p>
    <w:p>
      <w:r>
        <w:br w:type="page"/>
      </w:r>
    </w:p>
    <w:p>
      <w:pPr>
        <w:pStyle w:val="Heading1"/>
        <w:spacing w:before="360" w:after="120"/>
      </w:pPr>
      <w:r>
        <w:rPr>
          <w:rFonts w:ascii="Arial" w:cs="Arial" w:eastAsia="Arial" w:hAnsi="Arial"/>
          <w:b/>
          <w:bCs/>
          <w:color w:val="1A3A5C"/>
          <w:sz w:val="36"/>
          <w:szCs w:val="36"/>
        </w:rPr>
        <w:t xml:space="preserve">Sumário Executivo</w:t>
      </w:r>
    </w:p>
    <w:p>
      <w:pPr>
        <w:spacing w:before="80" w:after="80"/>
        <w:jc w:val="both"/>
      </w:pPr>
      <w:r>
        <w:rPr>
          <w:rFonts w:ascii="Arial" w:cs="Arial" w:eastAsia="Arial" w:hAnsi="Arial"/>
          <w:sz w:val="22"/>
          <w:szCs w:val="22"/>
        </w:rPr>
        <w:t xml:space="preserve">O Brasil encerrou 2025 e abriu 2026 em um paradoxo revelador: apesar do desemprego no menor nível histórico (5,2%), da renda crescendo e de medidas fiscais expansionistas — como a isenção de IR para rendas até R$ 5 mil —, o volume de unidades vendidas no varejo caiu 1,8% entre janeiro e outubro de 2025. Esse fenômeno, aparentemente contraditório, é na verdade o sinal mais claro de uma transformação estrutural em curso: o consumidor brasileiro está comprando menos, porém de forma mais consciente, seletiva e intencional.</w:t>
      </w:r>
    </w:p>
    <w:p>
      <w:pPr>
        <w:spacing w:before="80" w:after="80"/>
        <w:jc w:val="both"/>
      </w:pPr>
      <w:r>
        <w:rPr>
          <w:rFonts w:ascii="Arial" w:cs="Arial" w:eastAsia="Arial" w:hAnsi="Arial"/>
          <w:sz w:val="22"/>
          <w:szCs w:val="22"/>
        </w:rPr>
        <w:t xml:space="preserve">Esse relatório mapeia as forças em movimento nesse período, cruzando seis dimensões de análise — macro-economia, comportamento do consumidor, saúde e bem-estar, ecologia digital, mercado de trabalho e cultura de consumo — para oferecer uma leitura integrada das mudanças que definem esse ciclo.</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Tese Central do Período</w:t>
            </w:r>
          </w:p>
          <w:p>
            <w:pPr>
              <w:spacing w:before="0" w:after="0"/>
            </w:pPr>
            <w:r>
              <w:rPr>
                <w:rFonts w:ascii="Arial" w:cs="Arial" w:eastAsia="Arial" w:hAnsi="Arial"/>
                <w:sz w:val="22"/>
                <w:szCs w:val="22"/>
              </w:rPr>
              <w:t xml:space="preserve">O consumidor brasileiro não está mais comprando mais porque tem mais dinheiro: ele está comprando melhor. A nova lógica de consumo é pautada por valor real percebido, autocuidado sistematizado e a tensão produtiva entre economia em itens básicos e indulgência seletiva em categorias de prazer e saúde.</w:t>
            </w:r>
          </w:p>
        </w:tc>
      </w:tr>
    </w:tbl>
    <w:p>
      <w:pPr>
        <w:spacing w:before="160" w:after="0"/>
      </w:pPr>
    </w:p>
    <w:p>
      <w:r>
        <w:br w:type="page"/>
      </w:r>
    </w:p>
    <w:p>
      <w:pPr>
        <w:pStyle w:val="Heading1"/>
        <w:spacing w:before="360" w:after="120"/>
      </w:pPr>
      <w:r>
        <w:rPr>
          <w:rFonts w:ascii="Arial" w:cs="Arial" w:eastAsia="Arial" w:hAnsi="Arial"/>
          <w:b/>
          <w:bCs/>
          <w:color w:val="1A3A5C"/>
          <w:sz w:val="36"/>
          <w:szCs w:val="36"/>
        </w:rPr>
        <w:t xml:space="preserve">Parte I — O Contexto Macroeconômico</w:t>
      </w:r>
    </w:p>
    <w:p>
      <w:pPr>
        <w:pStyle w:val="Heading2"/>
        <w:spacing w:before="280" w:after="80"/>
      </w:pPr>
      <w:r>
        <w:rPr>
          <w:rFonts w:ascii="Arial" w:cs="Arial" w:eastAsia="Arial" w:hAnsi="Arial"/>
          <w:b/>
          <w:bCs/>
          <w:color w:val="2E74B5"/>
          <w:sz w:val="28"/>
          <w:szCs w:val="28"/>
        </w:rPr>
        <w:t xml:space="preserve">1.1. A Equação Contraditória do Consumo</w:t>
      </w:r>
    </w:p>
    <w:p>
      <w:pPr>
        <w:spacing w:before="80" w:after="80"/>
        <w:jc w:val="both"/>
      </w:pPr>
      <w:r>
        <w:rPr>
          <w:rFonts w:ascii="Arial" w:cs="Arial" w:eastAsia="Arial" w:hAnsi="Arial"/>
          <w:sz w:val="22"/>
          <w:szCs w:val="22"/>
        </w:rPr>
        <w:t xml:space="preserve">A economia brasileira chegou a 2026 com um conjunto incomum de indicadores positivos e pressões estruturais simultâneas. O PIB deve crescer entre 1,7% e 2,0% em 2026 — ritmo mais modesto que 2025, mas ainda dentro de uma zona de estabilidade. O mercado de trabalho registrou em 2025 a menor taxa de desemprego desde 2012, com mais de 49 milhões de vínculos formais ativos e criação de 5 milhões de empregos formais desde janeiro de 2023.</w:t>
      </w:r>
    </w:p>
    <w:p>
      <w:pPr>
        <w:spacing w:before="80" w:after="80"/>
        <w:jc w:val="both"/>
      </w:pPr>
      <w:r>
        <w:rPr>
          <w:rFonts w:ascii="Arial" w:cs="Arial" w:eastAsia="Arial" w:hAnsi="Arial"/>
          <w:sz w:val="22"/>
          <w:szCs w:val="22"/>
        </w:rPr>
        <w:t xml:space="preserve">No lado adverso, a taxa Selic encerrou 2025 em 15% ao ano — nível historicamente restritivo — e o IPCA acumulou 4,26% em 12 meses, acima do centro da meta, pressionado principalmente pela inflação de serviços (projetada em 5,3% para 2026). Esse ambiente de juro alto com renda crescente cria o paradoxo central do período: mais dinheiro disponível, mas mais cautela nas decisões de gasto.</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Indicador / Categoria</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Variação / Dado</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sz w:val="20"/>
                <w:szCs w:val="20"/>
              </w:rPr>
              <w:t xml:space="preserve">Taxa de desemprego (nov/2025)</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b/>
                <w:bCs/>
                <w:color w:val="C0392B"/>
                <w:sz w:val="20"/>
                <w:szCs w:val="20"/>
              </w:rPr>
              <w:t xml:space="preserve">5,2% — mínima histórica desde 2012</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Vínculos formais de trabalho</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49 milhões — maior série histórica</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sz w:val="20"/>
                <w:szCs w:val="20"/>
              </w:rPr>
              <w:t xml:space="preserve">Taxa Selic (início 2026)</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000000"/>
                <w:sz w:val="20"/>
                <w:szCs w:val="20"/>
              </w:rPr>
              <w:t xml:space="preserve">15% ao ano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IPCA acumulado 12 meses (dez/2025)</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4,26% — dentro da banda da meta</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sz w:val="20"/>
                <w:szCs w:val="20"/>
              </w:rPr>
              <w:t xml:space="preserve">Projeção PIB 2026 (XP/Itaú/C6)</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000000"/>
                <w:sz w:val="20"/>
                <w:szCs w:val="20"/>
              </w:rPr>
              <w:t xml:space="preserve">1,7% a 2,0% de crescimento real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Isenção de IR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Rendas até R$ 5.000 mensais — vigência a partir de jan/2026</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sz w:val="20"/>
                <w:szCs w:val="20"/>
              </w:rPr>
              <w:t xml:space="preserve">Novo salário mínimo (jan/2026)</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000000"/>
                <w:sz w:val="20"/>
                <w:szCs w:val="20"/>
              </w:rPr>
              <w:t xml:space="preserve">R$ 1.621 — com ganho real</w:t>
            </w:r>
          </w:p>
        </w:tc>
      </w:tr>
    </w:tbl>
    <w:p>
      <w:pPr>
        <w:spacing w:before="120" w:after="0"/>
      </w:pPr>
    </w:p>
    <w:p>
      <w:pPr>
        <w:pStyle w:val="Heading2"/>
        <w:spacing w:before="280" w:after="80"/>
      </w:pPr>
      <w:r>
        <w:rPr>
          <w:rFonts w:ascii="Arial" w:cs="Arial" w:eastAsia="Arial" w:hAnsi="Arial"/>
          <w:b/>
          <w:bCs/>
          <w:color w:val="2E74B5"/>
          <w:sz w:val="28"/>
          <w:szCs w:val="28"/>
        </w:rPr>
        <w:t xml:space="preserve">1.2. O Efeito da Renda nos Hábitos — Mais Seletividade, Não Mais Volume</w:t>
      </w:r>
    </w:p>
    <w:p>
      <w:pPr>
        <w:spacing w:before="80" w:after="80"/>
        <w:jc w:val="both"/>
      </w:pPr>
      <w:r>
        <w:rPr>
          <w:rFonts w:ascii="Arial" w:cs="Arial" w:eastAsia="Arial" w:hAnsi="Arial"/>
          <w:sz w:val="22"/>
          <w:szCs w:val="22"/>
        </w:rPr>
        <w:t xml:space="preserve">A entrada em vigor da nova tabela do Imposto de Renda em 2026, isentando rendas até R$ 5 mil e reduzindo a alíquota progressiva até R$ 7,35 mil, representa uma injeção estimada de mais de R$ 100 bilhões na economia ao longo do ano. Esse choque de renda disponível, no entanto, não se traduz automaticamente em aumento de volume no varejo. Os dados de 2025 já sinalizavam essa dinâmica: mesmo com renda crescendo, o varejo alimentar avançou +4,1% em faturamento mas recuou -2,1% em unidades — o crescimento foi sustentado pelo repasse de preços (+7,8% no preço médio por unidade), não por expansão de volume.</w:t>
      </w:r>
    </w:p>
    <w:p>
      <w:pPr>
        <w:spacing w:before="80" w:after="80"/>
        <w:jc w:val="both"/>
      </w:pPr>
      <w:r>
        <w:rPr>
          <w:rFonts w:ascii="Arial" w:cs="Arial" w:eastAsia="Arial" w:hAnsi="Arial"/>
          <w:sz w:val="22"/>
          <w:szCs w:val="22"/>
        </w:rPr>
        <w:t xml:space="preserve">Esse padrão indica uma reconfiguração qualitativa do consumo: o brasileiro está dispostos a pagar mais caro por menos quantidade, desde que o produto ofereça valor percebido claro — seja em saúde, funcionalidade, praticidade ou prazer.</w:t>
      </w:r>
    </w:p>
    <w:p>
      <w:pPr>
        <w:spacing w:before="160" w:after="0"/>
      </w:pPr>
    </w:p>
    <w:p>
      <w:r>
        <w:br w:type="page"/>
      </w:r>
    </w:p>
    <w:p>
      <w:pPr>
        <w:pStyle w:val="Heading1"/>
        <w:spacing w:before="360" w:after="120"/>
      </w:pPr>
      <w:r>
        <w:rPr>
          <w:rFonts w:ascii="Arial" w:cs="Arial" w:eastAsia="Arial" w:hAnsi="Arial"/>
          <w:b/>
          <w:bCs/>
          <w:color w:val="1A3A5C"/>
          <w:sz w:val="36"/>
          <w:szCs w:val="36"/>
        </w:rPr>
        <w:t xml:space="preserve">Parte II — Mudanças Estruturais no Comportamento de Consumo</w:t>
      </w:r>
    </w:p>
    <w:p>
      <w:pPr>
        <w:pStyle w:val="Heading2"/>
        <w:spacing w:before="280" w:after="80"/>
      </w:pPr>
      <w:r>
        <w:rPr>
          <w:rFonts w:ascii="Arial" w:cs="Arial" w:eastAsia="Arial" w:hAnsi="Arial"/>
          <w:b/>
          <w:bCs/>
          <w:color w:val="2E74B5"/>
          <w:sz w:val="28"/>
          <w:szCs w:val="28"/>
        </w:rPr>
        <w:t xml:space="preserve">2.1. A Nova Lógica de Compra: Intencional, Comparativa e Híbrida</w:t>
      </w:r>
    </w:p>
    <w:p>
      <w:pPr>
        <w:spacing w:before="80" w:after="80"/>
        <w:jc w:val="both"/>
      </w:pPr>
      <w:r>
        <w:rPr>
          <w:rFonts w:ascii="Arial" w:cs="Arial" w:eastAsia="Arial" w:hAnsi="Arial"/>
          <w:sz w:val="22"/>
          <w:szCs w:val="22"/>
        </w:rPr>
        <w:t xml:space="preserve">O comportamento de compra do brasileiro passou por uma transformação profunda que McKinsey e Scanntech chamam de compra "intencional e menos previsível". Mais da metade dos brasileiros pesquisa preços online antes de comprar no físico, e as vendas online crescem quase quatro vezes mais rápido que o canal físico no varejo alimentar. O digital se consolidou como a principal vitrine de percepção de valor — mesmo para compras realizadas presencialmente.</w:t>
      </w:r>
    </w:p>
    <w:p>
      <w:pPr>
        <w:spacing w:before="80" w:after="80"/>
        <w:jc w:val="both"/>
      </w:pPr>
      <w:r>
        <w:rPr>
          <w:rFonts w:ascii="Arial" w:cs="Arial" w:eastAsia="Arial" w:hAnsi="Arial"/>
          <w:sz w:val="22"/>
          <w:szCs w:val="22"/>
        </w:rPr>
        <w:t xml:space="preserve">Ao mesmo tempo, dois movimentos paralelos e aparentemente opostos se consolidam: a frequência de visitas ao ponto de venda cresceu +12,8%, mas o número de itens por compra caiu -10,4%. O consumidor vai mais vezes às lojas, mas leva menos por visita — um padrão de compra mais controlado, que distribui o orçamento no tempo e reduz o risco de desperdício.</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O Fenômeno 'Figital'</w:t>
            </w:r>
          </w:p>
          <w:p>
            <w:pPr>
              <w:spacing w:before="0" w:after="0"/>
            </w:pPr>
            <w:r>
              <w:rPr>
                <w:rFonts w:ascii="Arial" w:cs="Arial" w:eastAsia="Arial" w:hAnsi="Arial"/>
                <w:sz w:val="22"/>
                <w:szCs w:val="22"/>
              </w:rPr>
              <w:t xml:space="preserve">O canal físico e o digital deixaram de ser alternativos e tornaram-se complementares: o online molda a percepção de valor e o preço de referência; o físico é o lugar da conveniência, do frescor e da descoberta. Marcas e varejistas que não orquestram essa complementaridade com consistência perdem o consumidor nos dois canais simultaneamente.</w:t>
            </w:r>
          </w:p>
        </w:tc>
      </w:tr>
    </w:tbl>
    <w:p>
      <w:pPr>
        <w:spacing w:before="160" w:after="0"/>
      </w:pPr>
    </w:p>
    <w:p>
      <w:pPr>
        <w:pStyle w:val="Heading2"/>
        <w:spacing w:before="280" w:after="80"/>
      </w:pPr>
      <w:r>
        <w:rPr>
          <w:rFonts w:ascii="Arial" w:cs="Arial" w:eastAsia="Arial" w:hAnsi="Arial"/>
          <w:b/>
          <w:bCs/>
          <w:color w:val="2E74B5"/>
          <w:sz w:val="28"/>
          <w:szCs w:val="28"/>
        </w:rPr>
        <w:t xml:space="preserve">2.2. Trade-Down com Indulgência — A Economia que Abre Espaço para o Prazer</w:t>
      </w:r>
    </w:p>
    <w:p>
      <w:pPr>
        <w:spacing w:before="80" w:after="80"/>
        <w:jc w:val="both"/>
      </w:pPr>
      <w:r>
        <w:rPr>
          <w:rFonts w:ascii="Arial" w:cs="Arial" w:eastAsia="Arial" w:hAnsi="Arial"/>
          <w:sz w:val="22"/>
          <w:szCs w:val="22"/>
        </w:rPr>
        <w:t xml:space="preserve">Uma das dinâmicas mais reveladoras do período é a convivência de economia e indulgência no mesmo orçamento. O consumidor está reduzindo gastos em categorias básicas — migrando para marcas econômicas em amaciante (+2,9 p.p. de participação para marcas mais baratas), sabão líquido (+1,9 p.p.) e outros itens de compra recorrente — para liberar recursos para indulgências seletivas.</w:t>
      </w:r>
    </w:p>
    <w:p>
      <w:pPr>
        <w:spacing w:before="80" w:after="80"/>
        <w:jc w:val="both"/>
      </w:pPr>
      <w:r>
        <w:rPr>
          <w:rFonts w:ascii="Arial" w:cs="Arial" w:eastAsia="Arial" w:hAnsi="Arial"/>
          <w:sz w:val="22"/>
          <w:szCs w:val="22"/>
        </w:rPr>
        <w:t xml:space="preserve">O resultado aparece nos dados: cervejas premium e chocolates em barra premium avançaram 2,3 e 1,6 pontos percentuais de participação mesmo com queda no volume total. Mais de três em cada dez consumidores planejam "se presentear" no supermercado em 2026, e itens de alto valor agregado como whisky, licor e gin crescem na cesta dos brasileiros ao lado de fraldas premium e papel higiênico de qualidade superior.</w:t>
      </w:r>
    </w:p>
    <w:p>
      <w:pPr>
        <w:spacing w:before="160" w:after="0"/>
      </w:pPr>
    </w:p>
    <w:p>
      <w:pPr>
        <w:pStyle w:val="Heading2"/>
        <w:spacing w:before="280" w:after="80"/>
      </w:pPr>
      <w:r>
        <w:rPr>
          <w:rFonts w:ascii="Arial" w:cs="Arial" w:eastAsia="Arial" w:hAnsi="Arial"/>
          <w:b/>
          <w:bCs/>
          <w:color w:val="2E74B5"/>
          <w:sz w:val="28"/>
          <w:szCs w:val="28"/>
        </w:rPr>
        <w:t xml:space="preserve">2.3. O Atacarejo em Ajuste — e a Emergência das Categorias Frescas</w:t>
      </w:r>
    </w:p>
    <w:p>
      <w:pPr>
        <w:spacing w:before="80" w:after="80"/>
        <w:jc w:val="both"/>
      </w:pPr>
      <w:r>
        <w:rPr>
          <w:rFonts w:ascii="Arial" w:cs="Arial" w:eastAsia="Arial" w:hAnsi="Arial"/>
          <w:sz w:val="22"/>
          <w:szCs w:val="22"/>
        </w:rPr>
        <w:t xml:space="preserve">O atacarejo, canal que chegou a estar presente em 80% dos lares brasileiros, registrou queda de 2,7% em unidades vendidas por loja em lojas comparáveis — um sinal de saturação após anos de expansão acelerada. O formato precisa se reinventar para manter relevância em um consumidor que está disposto a sacrificar conveniência por preço, mas também exige experiência e variedade.</w:t>
      </w:r>
    </w:p>
    <w:p>
      <w:pPr>
        <w:spacing w:before="80" w:after="80"/>
        <w:jc w:val="both"/>
      </w:pPr>
      <w:r>
        <w:rPr>
          <w:rFonts w:ascii="Arial" w:cs="Arial" w:eastAsia="Arial" w:hAnsi="Arial"/>
          <w:sz w:val="22"/>
          <w:szCs w:val="22"/>
        </w:rPr>
        <w:t xml:space="preserve">O dado mais revelador desse movimento é o crescimento de categorias historicamente relegadas ao supermercado tradicional: frutas, legumes e peixaria cresceram cerca de 10% no atacarejo, indicando que o consumidor está ampliando seu uso do canal para além de itens de prateleira, integrando-o à rotina alimentar completa.</w:t>
      </w:r>
    </w:p>
    <w:p>
      <w:pPr>
        <w:spacing w:before="160" w:after="0"/>
      </w:pPr>
    </w:p>
    <w:p>
      <w:r>
        <w:br w:type="page"/>
      </w:r>
    </w:p>
    <w:p>
      <w:pPr>
        <w:pStyle w:val="Heading1"/>
        <w:spacing w:before="360" w:after="120"/>
      </w:pPr>
      <w:r>
        <w:rPr>
          <w:rFonts w:ascii="Arial" w:cs="Arial" w:eastAsia="Arial" w:hAnsi="Arial"/>
          <w:b/>
          <w:bCs/>
          <w:color w:val="1A3A5C"/>
          <w:sz w:val="36"/>
          <w:szCs w:val="36"/>
        </w:rPr>
        <w:t xml:space="preserve">Parte III — A Revolução da Saúde e do Bem-Estar</w:t>
      </w:r>
    </w:p>
    <w:p>
      <w:pPr>
        <w:pStyle w:val="Heading2"/>
        <w:spacing w:before="280" w:after="80"/>
      </w:pPr>
      <w:r>
        <w:rPr>
          <w:rFonts w:ascii="Arial" w:cs="Arial" w:eastAsia="Arial" w:hAnsi="Arial"/>
          <w:b/>
          <w:bCs/>
          <w:color w:val="2E74B5"/>
          <w:sz w:val="28"/>
          <w:szCs w:val="28"/>
        </w:rPr>
        <w:t xml:space="preserve">3.1. O Corpo como Projeto — Do Suplemento ao Sistema</w:t>
      </w:r>
    </w:p>
    <w:p>
      <w:pPr>
        <w:spacing w:before="80" w:after="80"/>
        <w:jc w:val="both"/>
      </w:pPr>
      <w:r>
        <w:rPr>
          <w:rFonts w:ascii="Arial" w:cs="Arial" w:eastAsia="Arial" w:hAnsi="Arial"/>
          <w:sz w:val="22"/>
          <w:szCs w:val="22"/>
        </w:rPr>
        <w:t xml:space="preserve">A tendência mais expressiva em termos de crescimento de volume no período foi a explosão dos produtos de saúde e bem-estar físico. Creatina avançou 89% em volume, whey protein 124%, e iogurte proteico 16% no varejo alimentar. Bebidas proteicas passaram de 5% de penetração domiciliar em 2023 para 13% em 2025 — uma triplicação em dois anos. Cervejas 0% álcool avançaram de 10% para 15% de penetração no mesmo período.</w:t>
      </w:r>
    </w:p>
    <w:p>
      <w:pPr>
        <w:spacing w:before="80" w:after="80"/>
        <w:jc w:val="both"/>
      </w:pPr>
      <w:r>
        <w:rPr>
          <w:rFonts w:ascii="Arial" w:cs="Arial" w:eastAsia="Arial" w:hAnsi="Arial"/>
          <w:sz w:val="22"/>
          <w:szCs w:val="22"/>
        </w:rPr>
        <w:t xml:space="preserve">Esses números revelam uma mudança cultural mais profunda: o cuidado com o corpo deixou de ser exclusivo de frequentadores de academia e penetrou no cotidiano de segmentos mais amplos da população. Suplementos esportivos passaram a ser comprados no supermercado e no atacarejo, ampliando seu mercado potencial de forma estrutural.</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Indicador / Categoria</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Variação / Dado</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sz w:val="20"/>
                <w:szCs w:val="20"/>
              </w:rPr>
              <w:t xml:space="preserve">Creatina (variação volume 2025)</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b/>
                <w:bCs/>
                <w:color w:val="C0392B"/>
                <w:sz w:val="20"/>
                <w:szCs w:val="20"/>
              </w:rPr>
              <w:t xml:space="preserve">+89%</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Whey protein (variação volume 2025)</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C0392B"/>
                <w:sz w:val="20"/>
                <w:szCs w:val="20"/>
              </w:rPr>
              <w:t xml:space="preserve">+124%</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sz w:val="20"/>
                <w:szCs w:val="20"/>
              </w:rPr>
              <w:t xml:space="preserve">Bebidas proteicas (penetração 2025)</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b/>
                <w:bCs/>
                <w:color w:val="C0392B"/>
                <w:sz w:val="20"/>
                <w:szCs w:val="20"/>
              </w:rPr>
              <w:t xml:space="preserve">13% dos domicílios (era 5% em 2023)</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Cervejas 0% álcool (penetração 2025)</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15% dos domicílios (era 10% em 2023)</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sz w:val="20"/>
                <w:szCs w:val="20"/>
              </w:rPr>
              <w:t xml:space="preserve">Iogurte proteico</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000000"/>
                <w:sz w:val="20"/>
                <w:szCs w:val="20"/>
              </w:rPr>
              <w:t xml:space="preserve">+16% em volume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Suplementos esportivos no atacarejo</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+141%</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sz w:val="20"/>
                <w:szCs w:val="20"/>
              </w:rPr>
              <w:t xml:space="preserve">Protetor solar</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000000"/>
                <w:sz w:val="20"/>
                <w:szCs w:val="20"/>
              </w:rPr>
              <w:t xml:space="preserve">+32% no atacarejo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Consumidores buscando reduzir açúcar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46% dos brasileiros</w:t>
            </w:r>
          </w:p>
        </w:tc>
      </w:tr>
    </w:tbl>
    <w:p>
      <w:pPr>
        <w:spacing w:before="120" w:after="0"/>
      </w:pPr>
    </w:p>
    <w:p>
      <w:pPr>
        <w:pStyle w:val="Heading2"/>
        <w:spacing w:before="280" w:after="80"/>
      </w:pPr>
      <w:r>
        <w:rPr>
          <w:rFonts w:ascii="Arial" w:cs="Arial" w:eastAsia="Arial" w:hAnsi="Arial"/>
          <w:b/>
          <w:bCs/>
          <w:color w:val="2E74B5"/>
          <w:sz w:val="28"/>
          <w:szCs w:val="28"/>
        </w:rPr>
        <w:t xml:space="preserve">3.2. GLP-1 e a Redefinição do Tamanho das Porções</w:t>
      </w:r>
    </w:p>
    <w:p>
      <w:pPr>
        <w:spacing w:before="80" w:after="80"/>
        <w:jc w:val="both"/>
      </w:pPr>
      <w:r>
        <w:rPr>
          <w:rFonts w:ascii="Arial" w:cs="Arial" w:eastAsia="Arial" w:hAnsi="Arial"/>
          <w:sz w:val="22"/>
          <w:szCs w:val="22"/>
        </w:rPr>
        <w:t xml:space="preserve">Um fenômeno disruptivo que começa a remodelar o mercado alimentar é o uso crescente de medicamentos à base de GLP-1 (análogos de GLP-1, as chamadas "canetas emagrecedoras"). Antes do uso desses medicamentos, consumidores não-usuários consumiam em média 44% mais alimentos do que usuários; após iniciarem ou considerarem o uso, essa diferença caiu para 20%. Com o vencimento de patentes previsto para 2026, a democratização do acesso deve acelerar substancialmente esse impacto.</w:t>
      </w:r>
    </w:p>
    <w:p>
      <w:pPr>
        <w:spacing w:before="80" w:after="80"/>
        <w:jc w:val="both"/>
      </w:pPr>
      <w:r>
        <w:rPr>
          <w:rFonts w:ascii="Arial" w:cs="Arial" w:eastAsia="Arial" w:hAnsi="Arial"/>
          <w:sz w:val="22"/>
          <w:szCs w:val="22"/>
        </w:rPr>
        <w:t xml:space="preserve">O efeito prático para o mercado é duplo: por um lado, redução no volume de alimentos consumidos por esse segmento; por outro, maior demanda por produtos com alta densidade nutricional, porções menores e formulações funcionais que complementem o tratamento. A indústria alimentar que não se adaptar a esse novo padrão de consumo enfrentará obsolescência de portfólio.</w:t>
      </w:r>
    </w:p>
    <w:p>
      <w:pPr>
        <w:spacing w:before="160" w:after="0"/>
      </w:pPr>
    </w:p>
    <w:p>
      <w:pPr>
        <w:pStyle w:val="Heading2"/>
        <w:spacing w:before="280" w:after="80"/>
      </w:pPr>
      <w:r>
        <w:rPr>
          <w:rFonts w:ascii="Arial" w:cs="Arial" w:eastAsia="Arial" w:hAnsi="Arial"/>
          <w:b/>
          <w:bCs/>
          <w:color w:val="2E74B5"/>
          <w:sz w:val="28"/>
          <w:szCs w:val="28"/>
        </w:rPr>
        <w:t xml:space="preserve">3.3. A Crise de Saúde Mental e Seus Reflexos no Consumo</w:t>
      </w:r>
    </w:p>
    <w:p>
      <w:pPr>
        <w:spacing w:before="80" w:after="80"/>
        <w:jc w:val="both"/>
      </w:pPr>
      <w:r>
        <w:rPr>
          <w:rFonts w:ascii="Arial" w:cs="Arial" w:eastAsia="Arial" w:hAnsi="Arial"/>
          <w:sz w:val="22"/>
          <w:szCs w:val="22"/>
        </w:rPr>
        <w:t xml:space="preserve">As licenças médicas por ansiedade e depressão cresceram 68% entre 2023 e 2025 no Brasil — um dos indicadores mais alarmantes e, ao mesmo tempo, mais reveladores das forças que estão moldando o consumo. Saúde mental, equilíbrio e rotinas sustentáveis passaram a guiar decisões de compra de forma direta: produtos que comunicam propósito, bem-estar, redução de estresse e qualidade de vida ganham diferencial competitivo real.</w:t>
      </w:r>
    </w:p>
    <w:p>
      <w:pPr>
        <w:spacing w:before="80" w:after="80"/>
        <w:jc w:val="both"/>
      </w:pPr>
      <w:r>
        <w:rPr>
          <w:rFonts w:ascii="Arial" w:cs="Arial" w:eastAsia="Arial" w:hAnsi="Arial"/>
          <w:sz w:val="22"/>
          <w:szCs w:val="22"/>
        </w:rPr>
        <w:t xml:space="preserve">O crescimento de categorias como perfumes (+15% impulsionado pelas classes D e E), produtos de limpeza perfumados e multifuncionais (93% de penetração domiciliar, avanço de 4 pontos percentuais em um ano) e rotinas elaboradas de autocuidado reflete esse movimento: o lar tornou-se um espaço de recuperação e prazer, e os produtos que habitam esse espaço carregam uma carga emocional crescente.</w:t>
      </w:r>
    </w:p>
    <w:p>
      <w:pPr>
        <w:spacing w:before="160" w:after="0"/>
      </w:pPr>
    </w:p>
    <w:p>
      <w:r>
        <w:br w:type="page"/>
      </w:r>
    </w:p>
    <w:p>
      <w:pPr>
        <w:pStyle w:val="Heading1"/>
        <w:spacing w:before="360" w:after="120"/>
      </w:pPr>
      <w:r>
        <w:rPr>
          <w:rFonts w:ascii="Arial" w:cs="Arial" w:eastAsia="Arial" w:hAnsi="Arial"/>
          <w:b/>
          <w:bCs/>
          <w:color w:val="1A3A5C"/>
          <w:sz w:val="36"/>
          <w:szCs w:val="36"/>
        </w:rPr>
        <w:t xml:space="preserve">Parte IV — Autocuidado e Beleza: A Nova Rotina</w:t>
      </w:r>
    </w:p>
    <w:p>
      <w:pPr>
        <w:pStyle w:val="Heading2"/>
        <w:spacing w:before="280" w:after="80"/>
      </w:pPr>
      <w:r>
        <w:rPr>
          <w:rFonts w:ascii="Arial" w:cs="Arial" w:eastAsia="Arial" w:hAnsi="Arial"/>
          <w:b/>
          <w:bCs/>
          <w:color w:val="2E74B5"/>
          <w:sz w:val="28"/>
          <w:szCs w:val="28"/>
        </w:rPr>
        <w:t xml:space="preserve">4.1. A Rotina de Beleza Chegou ao Varejo de Massa</w:t>
      </w:r>
    </w:p>
    <w:p>
      <w:pPr>
        <w:spacing w:before="80" w:after="80"/>
        <w:jc w:val="both"/>
      </w:pPr>
      <w:r>
        <w:rPr>
          <w:rFonts w:ascii="Arial" w:cs="Arial" w:eastAsia="Arial" w:hAnsi="Arial"/>
          <w:sz w:val="22"/>
          <w:szCs w:val="22"/>
        </w:rPr>
        <w:t xml:space="preserve">A democratização e expansão das rotinas de beleza e autocuidado foi um dos fenômenos mais marcantes do período. Categorias básicas perdem espaço enquanto produtos complementares e de cuidado especializado explodem: shampoos líquidos recuaram 10% em volume e sabonetes em barra -7%, enquanto óleos capilares subiram +18% e finalizadores +13%. Na maquiagem, o crescimento foi ainda mais acelerado: bronzers avançaram 134% e blush 58%.</w:t>
      </w:r>
    </w:p>
    <w:p>
      <w:pPr>
        <w:spacing w:before="80" w:after="80"/>
        <w:jc w:val="both"/>
      </w:pPr>
      <w:r>
        <w:rPr>
          <w:rFonts w:ascii="Arial" w:cs="Arial" w:eastAsia="Arial" w:hAnsi="Arial"/>
          <w:sz w:val="22"/>
          <w:szCs w:val="22"/>
        </w:rPr>
        <w:t xml:space="preserve">O elemento mais revelador é a democratização dessas categorias: os perfumes cresceram 15% puxados pelas classes D e E — indicando que o cuidado com a aparência e a autoestima não é mais um luxo de nicho, mas uma demanda disseminada por toda a pirâmide socioeconômica. Os brasileiros passaram a usar, em média, seis categorias de higiene e beleza por semana, consolidando rotinas que antes eram restritas a públicos mais abastados.</w:t>
      </w:r>
    </w:p>
    <w:p>
      <w:pPr>
        <w:spacing w:before="160" w:after="0"/>
      </w:pPr>
    </w:p>
    <w:p>
      <w:pPr>
        <w:pStyle w:val="Heading2"/>
        <w:spacing w:before="280" w:after="80"/>
      </w:pPr>
      <w:r>
        <w:rPr>
          <w:rFonts w:ascii="Arial" w:cs="Arial" w:eastAsia="Arial" w:hAnsi="Arial"/>
          <w:b/>
          <w:bCs/>
          <w:color w:val="2E74B5"/>
          <w:sz w:val="28"/>
          <w:szCs w:val="28"/>
        </w:rPr>
        <w:t xml:space="preserve">4.2. A Dissolução das Fronteiras entre Canais de Beleza</w:t>
      </w:r>
    </w:p>
    <w:p>
      <w:pPr>
        <w:spacing w:before="80" w:after="80"/>
        <w:jc w:val="both"/>
      </w:pPr>
      <w:r>
        <w:rPr>
          <w:rFonts w:ascii="Arial" w:cs="Arial" w:eastAsia="Arial" w:hAnsi="Arial"/>
          <w:sz w:val="22"/>
          <w:szCs w:val="22"/>
        </w:rPr>
        <w:t xml:space="preserve">Um efeito de segunda ordem importante nesse movimento é a perda de exclusividade dos canais especializados. Supermercados e atacarejos passaram a competir diretamente com farmácias e perfumarias nas categorias de autocuidado, com produtos e marcas que antes só habitavam prateleiras especializadas migrando para o varejo de alimentação. Isso cria oportunidades para o varejo de alimentos ampliar a cesta de beleza, mas também pressiona margens de farmácias e perfumarias que perdiam tráfego para canais mais convenientes.</w:t>
      </w:r>
    </w:p>
    <w:p>
      <w:pPr>
        <w:spacing w:before="160" w:after="0"/>
      </w:pPr>
    </w:p>
    <w:p>
      <w:r>
        <w:br w:type="page"/>
      </w:r>
    </w:p>
    <w:p>
      <w:pPr>
        <w:pStyle w:val="Heading1"/>
        <w:spacing w:before="360" w:after="120"/>
      </w:pPr>
      <w:r>
        <w:rPr>
          <w:rFonts w:ascii="Arial" w:cs="Arial" w:eastAsia="Arial" w:hAnsi="Arial"/>
          <w:b/>
          <w:bCs/>
          <w:color w:val="1A3A5C"/>
          <w:sz w:val="36"/>
          <w:szCs w:val="36"/>
        </w:rPr>
        <w:t xml:space="preserve">Parte V — Ecologia Digital: IA, Redes Sociais e Novos Comportamentos</w:t>
      </w:r>
    </w:p>
    <w:p>
      <w:pPr>
        <w:pStyle w:val="Heading2"/>
        <w:spacing w:before="280" w:after="80"/>
      </w:pPr>
      <w:r>
        <w:rPr>
          <w:rFonts w:ascii="Arial" w:cs="Arial" w:eastAsia="Arial" w:hAnsi="Arial"/>
          <w:b/>
          <w:bCs/>
          <w:color w:val="2E74B5"/>
          <w:sz w:val="28"/>
          <w:szCs w:val="28"/>
        </w:rPr>
        <w:t xml:space="preserve">5.1. A Aceleração da Inteligência Artificial no Cotidiano das Empresas</w:t>
      </w:r>
    </w:p>
    <w:p>
      <w:pPr>
        <w:spacing w:before="80" w:after="80"/>
        <w:jc w:val="both"/>
      </w:pPr>
      <w:r>
        <w:rPr>
          <w:rFonts w:ascii="Arial" w:cs="Arial" w:eastAsia="Arial" w:hAnsi="Arial"/>
          <w:sz w:val="22"/>
          <w:szCs w:val="22"/>
        </w:rPr>
        <w:t xml:space="preserve">O ano de 2025 marcou um ponto de inflexão na adoção de IA no ecossistema empresarial brasileiro. Segundo levantamento da AWS, 9 milhões de empresas brasileiras — 40% do total — já utilizam IA de forma sistemática, um crescimento de 29% em um único ano. Entre as empresas que adotaram IA, 95% relatam aumento de receita (média de 31%) e 96% registraram melhora na produtividade.</w:t>
      </w:r>
    </w:p>
    <w:p>
      <w:pPr>
        <w:spacing w:before="80" w:after="80"/>
        <w:jc w:val="both"/>
      </w:pPr>
      <w:r>
        <w:rPr>
          <w:rFonts w:ascii="Arial" w:cs="Arial" w:eastAsia="Arial" w:hAnsi="Arial"/>
          <w:sz w:val="22"/>
          <w:szCs w:val="22"/>
        </w:rPr>
        <w:t xml:space="preserve">No lado do consumidor, 25% dos brasileiros já utilizam assistentes de IA para apoio em decisões de compra — criando o fenômeno dos "consumidores não-humanos" que filtram opções e constroem listas de preferência antes mesmo do usuário chegar à jornada de compra. Para as marcas, isso representa um novo canal de influência: ser recomendado por IA tornou-se uma dimensão estratégica de marketing.</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Dado Estrutural</w:t>
            </w:r>
          </w:p>
          <w:p>
            <w:pPr>
              <w:spacing w:before="0" w:after="0"/>
            </w:pPr>
            <w:r>
              <w:rPr>
                <w:rFonts w:ascii="Arial" w:cs="Arial" w:eastAsia="Arial" w:hAnsi="Arial"/>
                <w:sz w:val="22"/>
                <w:szCs w:val="22"/>
              </w:rPr>
              <w:t xml:space="preserve">Quase 40% das buscas por produtos e marcas já acontecem dentro das plataformas sociais — número equivalente ao dos buscadores tradicionais como Google (Emarketer, 2025). O comportamento de busca se fragmentou entre múltiplos canais, e a jornada de compra tornou-se genuinamente não-linear.</w:t>
            </w:r>
          </w:p>
        </w:tc>
      </w:tr>
    </w:tbl>
    <w:p>
      <w:pPr>
        <w:spacing w:before="160" w:after="0"/>
      </w:pPr>
    </w:p>
    <w:p>
      <w:pPr>
        <w:pStyle w:val="Heading2"/>
        <w:spacing w:before="280" w:after="80"/>
      </w:pPr>
      <w:r>
        <w:rPr>
          <w:rFonts w:ascii="Arial" w:cs="Arial" w:eastAsia="Arial" w:hAnsi="Arial"/>
          <w:b/>
          <w:bCs/>
          <w:color w:val="2E74B5"/>
          <w:sz w:val="28"/>
          <w:szCs w:val="28"/>
        </w:rPr>
        <w:t xml:space="preserve">5.2. A Fadiga Digital e o Movimento em Direção à Autenticidade</w:t>
      </w:r>
    </w:p>
    <w:p>
      <w:pPr>
        <w:spacing w:before="80" w:after="80"/>
        <w:jc w:val="both"/>
      </w:pPr>
      <w:r>
        <w:rPr>
          <w:rFonts w:ascii="Arial" w:cs="Arial" w:eastAsia="Arial" w:hAnsi="Arial"/>
          <w:sz w:val="22"/>
          <w:szCs w:val="22"/>
        </w:rPr>
        <w:t xml:space="preserve">Paradoxalmente, no mesmo período em que o uso de IA explode, cresce também um movimento de resistência à saturação de conteúdo artificial. Cerca de 27% dos usuários brasileiros planejam reduzir o tempo em redes sociais em 2026 — com Instagram liderando a intenção de abandono (65%), seguido de Facebook (52%) e TikTok (45%). O principal motivo é o excesso de conteúdo genérico e gerado por IA.</w:t>
      </w:r>
    </w:p>
    <w:p>
      <w:pPr>
        <w:spacing w:before="80" w:after="80"/>
        <w:jc w:val="both"/>
      </w:pPr>
      <w:r>
        <w:rPr>
          <w:rFonts w:ascii="Arial" w:cs="Arial" w:eastAsia="Arial" w:hAnsi="Arial"/>
          <w:sz w:val="22"/>
          <w:szCs w:val="22"/>
        </w:rPr>
        <w:t xml:space="preserve">Esse movimento empurra as pessoas para microcomunidades nichadas, onde autenticidade e interações reais prevalecem. Para marcas e criadores de conteúdo, isso representa uma bifurcação estratégica clara: usar IA para eficiência operacional, mas investir em autenticidade humana como diferencial de confiança. Os 44,6% dos consumidores que confiam mais em reviews reais e User Generated Content (UGC) do que em anúncios pagos confirmam que a prova social autêntica é o recurso escasso e mais valioso do ecossistema.</w:t>
      </w:r>
    </w:p>
    <w:p>
      <w:pPr>
        <w:spacing w:before="160" w:after="0"/>
      </w:pPr>
    </w:p>
    <w:p>
      <w:pPr>
        <w:pStyle w:val="Heading2"/>
        <w:spacing w:before="280" w:after="80"/>
      </w:pPr>
      <w:r>
        <w:rPr>
          <w:rFonts w:ascii="Arial" w:cs="Arial" w:eastAsia="Arial" w:hAnsi="Arial"/>
          <w:b/>
          <w:bCs/>
          <w:color w:val="2E74B5"/>
          <w:sz w:val="28"/>
          <w:szCs w:val="28"/>
        </w:rPr>
        <w:t xml:space="preserve">5.3. A Consolidação do E-commerce e o Social Commerce</w:t>
      </w:r>
    </w:p>
    <w:p>
      <w:pPr>
        <w:spacing w:before="80" w:after="80"/>
        <w:jc w:val="both"/>
      </w:pPr>
      <w:r>
        <w:rPr>
          <w:rFonts w:ascii="Arial" w:cs="Arial" w:eastAsia="Arial" w:hAnsi="Arial"/>
          <w:sz w:val="22"/>
          <w:szCs w:val="22"/>
        </w:rPr>
        <w:t xml:space="preserve">O e-commerce brasileiro deve faturar entre R$ 258 e R$ 260 bilhões em 2026 — crescimento de cerca de 10% sobre 2025 —, com entrada de mais de 2 milhões de novos compradores online. O ticket médio das compras online fica em torno de R$ 565. O setor de publicidade digital crescerá entre 6% e 9%, com redes sociais concentrando 53% de todo o investimento publicitário — e pela primeira vez em 2025 o investimento digital (41,5% de share) superou a televisão aberta (40,3%).</w:t>
      </w:r>
    </w:p>
    <w:p>
      <w:pPr>
        <w:spacing w:before="80" w:after="80"/>
        <w:jc w:val="both"/>
      </w:pPr>
      <w:r>
        <w:rPr>
          <w:rFonts w:ascii="Arial" w:cs="Arial" w:eastAsia="Arial" w:hAnsi="Arial"/>
          <w:sz w:val="22"/>
          <w:szCs w:val="22"/>
        </w:rPr>
        <w:t xml:space="preserve">O social commerce ganha tração definitiva: 65% dos consumidores descobrem produtos via anúncios sociais, e influenciadores e microcriadores impulsionam entre 42% e 65% das decisões de compra em diversas categorias, com satisfação de 87% e retenção de 80% entre compradores por recomendação de influenciadores.</w:t>
      </w:r>
    </w:p>
    <w:p>
      <w:pPr>
        <w:spacing w:before="160" w:after="0"/>
      </w:pPr>
    </w:p>
    <w:p>
      <w:r>
        <w:br w:type="page"/>
      </w:r>
    </w:p>
    <w:p>
      <w:pPr>
        <w:pStyle w:val="Heading1"/>
        <w:spacing w:before="360" w:after="120"/>
      </w:pPr>
      <w:r>
        <w:rPr>
          <w:rFonts w:ascii="Arial" w:cs="Arial" w:eastAsia="Arial" w:hAnsi="Arial"/>
          <w:b/>
          <w:bCs/>
          <w:color w:val="1A3A5C"/>
          <w:sz w:val="36"/>
          <w:szCs w:val="36"/>
        </w:rPr>
        <w:t xml:space="preserve">Parte VI — Transformações Demográficas e Novos Arranjos Sociais</w:t>
      </w:r>
    </w:p>
    <w:p>
      <w:pPr>
        <w:pStyle w:val="Heading2"/>
        <w:spacing w:before="280" w:after="80"/>
      </w:pPr>
      <w:r>
        <w:rPr>
          <w:rFonts w:ascii="Arial" w:cs="Arial" w:eastAsia="Arial" w:hAnsi="Arial"/>
          <w:b/>
          <w:bCs/>
          <w:color w:val="2E74B5"/>
          <w:sz w:val="28"/>
          <w:szCs w:val="28"/>
        </w:rPr>
        <w:t xml:space="preserve">6.1. A Redefinição da Família e o Papel dos Pets</w:t>
      </w:r>
    </w:p>
    <w:p>
      <w:pPr>
        <w:spacing w:before="80" w:after="80"/>
        <w:jc w:val="both"/>
      </w:pPr>
      <w:r>
        <w:rPr>
          <w:rFonts w:ascii="Arial" w:cs="Arial" w:eastAsia="Arial" w:hAnsi="Arial"/>
          <w:sz w:val="22"/>
          <w:szCs w:val="22"/>
        </w:rPr>
        <w:t xml:space="preserve">A composição dos domicílios brasileiros está se transformando de forma acelerada, com impactos diretos no padrão de consumo. Lares com apenas um filho representam 32% do faturamento da cesta de consumo massivo. Casais sem filhos respondem por 41% do mercado de alimentos para animais de estimação, com gasto médio 10% acima da média domiciliar. A revisão do Código Civil que passou a reconhecer animais como seres sencientes formalizou uma mudança de valores que já se manifestava no consumo: o pet tornou-se membro central da família, com demanda por produtos, serviços e experiências compatíveis com esse status.</w:t>
      </w:r>
    </w:p>
    <w:p>
      <w:pPr>
        <w:spacing w:before="80" w:after="80"/>
        <w:jc w:val="both"/>
      </w:pPr>
      <w:r>
        <w:rPr>
          <w:rFonts w:ascii="Arial" w:cs="Arial" w:eastAsia="Arial" w:hAnsi="Arial"/>
          <w:sz w:val="22"/>
          <w:szCs w:val="22"/>
        </w:rPr>
        <w:t xml:space="preserve">Paralelamente, os sêniors (acima de 60 anos) concentram 16% dos gastos em bens massivos de consumo, com crescimento de 9% — bem acima dos 5% registrados nos demais domicílios. Esse público envelheceu de forma ativa, rejeita estereótipos tradicionais de terceira idade e demanda produtos, serviços e comunicação que respeitem sua vitalidade e autonomia.</w:t>
      </w:r>
    </w:p>
    <w:p>
      <w:pPr>
        <w:spacing w:before="160" w:after="0"/>
      </w:pPr>
    </w:p>
    <w:p>
      <w:pPr>
        <w:pStyle w:val="Heading2"/>
        <w:spacing w:before="280" w:after="80"/>
      </w:pPr>
      <w:r>
        <w:rPr>
          <w:rFonts w:ascii="Arial" w:cs="Arial" w:eastAsia="Arial" w:hAnsi="Arial"/>
          <w:b/>
          <w:bCs/>
          <w:color w:val="2E74B5"/>
          <w:sz w:val="28"/>
          <w:szCs w:val="28"/>
        </w:rPr>
        <w:t xml:space="preserve">6.2. A Distribuição Regional da Nova Riqueza</w:t>
      </w:r>
    </w:p>
    <w:p>
      <w:pPr>
        <w:spacing w:before="80" w:after="80"/>
        <w:jc w:val="both"/>
      </w:pPr>
      <w:r>
        <w:rPr>
          <w:rFonts w:ascii="Arial" w:cs="Arial" w:eastAsia="Arial" w:hAnsi="Arial"/>
          <w:sz w:val="22"/>
          <w:szCs w:val="22"/>
        </w:rPr>
        <w:t xml:space="preserve">O Brasil registrou em 2022 o maior número de novos milionários do mundo, e o processo de distribuição regional da riqueza continua acelerado em 2025-2026. Estados como Ceará e outras regiões do Norte e Nordeste ampliam significativamente sua base de alto poder aquisitivo, criando demandas por produtos e serviços premium fora dos centros tradicionais de São Paulo e Rio de Janeiro. Esse movimento exige das marcas uma revisão das estratégias de distribuição e comunicação, que ainda tendem a subrepresentar o consumidor de alta renda fora do Sudeste.</w:t>
      </w:r>
    </w:p>
    <w:p>
      <w:pPr>
        <w:spacing w:before="160" w:after="0"/>
      </w:pPr>
    </w:p>
    <w:p>
      <w:pPr>
        <w:pStyle w:val="Heading2"/>
        <w:spacing w:before="280" w:after="80"/>
      </w:pPr>
      <w:r>
        <w:rPr>
          <w:rFonts w:ascii="Arial" w:cs="Arial" w:eastAsia="Arial" w:hAnsi="Arial"/>
          <w:b/>
          <w:bCs/>
          <w:color w:val="2E74B5"/>
          <w:sz w:val="28"/>
          <w:szCs w:val="28"/>
        </w:rPr>
        <w:t xml:space="preserve">6.3. O Debate sobre a Jornada de Trabalho e o Equilíbrio Vida-Trabalho</w:t>
      </w:r>
    </w:p>
    <w:p>
      <w:pPr>
        <w:spacing w:before="80" w:after="80"/>
        <w:jc w:val="both"/>
      </w:pPr>
      <w:r>
        <w:rPr>
          <w:rFonts w:ascii="Arial" w:cs="Arial" w:eastAsia="Arial" w:hAnsi="Arial"/>
          <w:sz w:val="22"/>
          <w:szCs w:val="22"/>
        </w:rPr>
        <w:t xml:space="preserve">O debate sobre redução da jornada de trabalho — de 44 para 40 horas semanais e o fim da escala 6x1 — ganhou tração política e social durante o período. Independentemente do desfecho legislativo, o tema já sinaliza uma transformação cultural em curso: trabalhadores brasileiros estão reivindicando com mais força o equilíbrio entre vida profissional e pessoal, e empresas que não respondem a essa demanda enfrentam dificuldades crescentes de atração e retenção de talentos em um mercado de trabalho historicamente apertado.</w:t>
      </w:r>
    </w:p>
    <w:p>
      <w:pPr>
        <w:spacing w:before="160" w:after="0"/>
      </w:pPr>
    </w:p>
    <w:p>
      <w:r>
        <w:br w:type="page"/>
      </w:r>
    </w:p>
    <w:p>
      <w:pPr>
        <w:pStyle w:val="Heading1"/>
        <w:spacing w:before="360" w:after="120"/>
      </w:pPr>
      <w:r>
        <w:rPr>
          <w:rFonts w:ascii="Arial" w:cs="Arial" w:eastAsia="Arial" w:hAnsi="Arial"/>
          <w:b/>
          <w:bCs/>
          <w:color w:val="1A3A5C"/>
          <w:sz w:val="36"/>
          <w:szCs w:val="36"/>
        </w:rPr>
        <w:t xml:space="preserve">Parte VII — As Tensões que Definem o Período</w:t>
      </w:r>
    </w:p>
    <w:p>
      <w:pPr>
        <w:spacing w:before="80" w:after="80"/>
        <w:jc w:val="both"/>
      </w:pPr>
      <w:r>
        <w:rPr>
          <w:rFonts w:ascii="Arial" w:cs="Arial" w:eastAsia="Arial" w:hAnsi="Arial"/>
          <w:sz w:val="22"/>
          <w:szCs w:val="22"/>
        </w:rPr>
        <w:t xml:space="preserve">Os dados do período não são apenas informativos — eles revelam tensões profundas que estruturam as oportunidades e os riscos do próximo ciclo. A análise de polaridades permite identificar onde reside o espaço para inovação real.</w:t>
      </w:r>
    </w:p>
    <w:p>
      <w:pPr>
        <w:spacing w:before="80" w:after="0"/>
      </w:pPr>
    </w:p>
    <w:p>
      <w:pPr>
        <w:spacing w:before="200" w:after="60"/>
      </w:pPr>
      <w:r>
        <w:rPr>
          <w:rFonts w:ascii="Arial" w:cs="Arial" w:eastAsia="Arial" w:hAnsi="Arial"/>
          <w:b/>
          <w:bCs/>
          <w:color w:val="1A3A5C"/>
          <w:sz w:val="24"/>
          <w:szCs w:val="24"/>
        </w:rPr>
        <w:t xml:space="preserve">Tensão 1: Volume vs. Valor</w:t>
      </w:r>
    </w:p>
    <w:p>
      <w:pPr>
        <w:spacing w:before="80" w:after="80"/>
        <w:jc w:val="both"/>
      </w:pPr>
      <w:r>
        <w:rPr>
          <w:rFonts w:ascii="Arial" w:cs="Arial" w:eastAsia="Arial" w:hAnsi="Arial"/>
          <w:sz w:val="22"/>
          <w:szCs w:val="22"/>
        </w:rPr>
        <w:t xml:space="preserve">O consumidor compra menos em quantidade, mas está disposto a pagar mais por unidade quando há valor percebido claro. Isso favorece marcas que constroem diferenciação real, mas pune as que competem apenas por preço ou volume.</w:t>
      </w:r>
    </w:p>
    <w:p>
      <w:pPr>
        <w:spacing w:before="200" w:after="60"/>
      </w:pPr>
      <w:r>
        <w:rPr>
          <w:rFonts w:ascii="Arial" w:cs="Arial" w:eastAsia="Arial" w:hAnsi="Arial"/>
          <w:b/>
          <w:bCs/>
          <w:color w:val="1A3A5C"/>
          <w:sz w:val="24"/>
          <w:szCs w:val="24"/>
        </w:rPr>
        <w:t xml:space="preserve">Tensão 2: Saúde vs. Indulgência</w:t>
      </w:r>
    </w:p>
    <w:p>
      <w:pPr>
        <w:spacing w:before="80" w:after="80"/>
        <w:jc w:val="both"/>
      </w:pPr>
      <w:r>
        <w:rPr>
          <w:rFonts w:ascii="Arial" w:cs="Arial" w:eastAsia="Arial" w:hAnsi="Arial"/>
          <w:sz w:val="22"/>
          <w:szCs w:val="22"/>
        </w:rPr>
        <w:t xml:space="preserve">O mesmo consumidor que corta açúcar e toma whey protein celebra o fim de semana com cerveja premium e chocolate de qualidade. A chave não é a contradição, mas a coexistência gerenciada: prazer consciente, não prazer culposo.</w:t>
      </w:r>
    </w:p>
    <w:p>
      <w:pPr>
        <w:spacing w:before="200" w:after="60"/>
      </w:pPr>
      <w:r>
        <w:rPr>
          <w:rFonts w:ascii="Arial" w:cs="Arial" w:eastAsia="Arial" w:hAnsi="Arial"/>
          <w:b/>
          <w:bCs/>
          <w:color w:val="1A3A5C"/>
          <w:sz w:val="24"/>
          <w:szCs w:val="24"/>
        </w:rPr>
        <w:t xml:space="preserve">Tensão 3: Digital vs. Autenticidade</w:t>
      </w:r>
    </w:p>
    <w:p>
      <w:pPr>
        <w:spacing w:before="80" w:after="80"/>
        <w:jc w:val="both"/>
      </w:pPr>
      <w:r>
        <w:rPr>
          <w:rFonts w:ascii="Arial" w:cs="Arial" w:eastAsia="Arial" w:hAnsi="Arial"/>
          <w:sz w:val="22"/>
          <w:szCs w:val="22"/>
        </w:rPr>
        <w:t xml:space="preserve">A adoção massiva de IA e conteúdo automatizado gera, como reação, uma valorização crescente da autenticidade humana. Quem usar IA para ser mais eficiente, mas investir em voz, presença e relacionamento genuínos, vence. Quem usar IA como substituto da identidade, perde confiança.</w:t>
      </w:r>
    </w:p>
    <w:p>
      <w:pPr>
        <w:spacing w:before="200" w:after="60"/>
      </w:pPr>
      <w:r>
        <w:rPr>
          <w:rFonts w:ascii="Arial" w:cs="Arial" w:eastAsia="Arial" w:hAnsi="Arial"/>
          <w:b/>
          <w:bCs/>
          <w:color w:val="1A3A5C"/>
          <w:sz w:val="24"/>
          <w:szCs w:val="24"/>
        </w:rPr>
        <w:t xml:space="preserve">Tensão 4: Economia vs. Experiência</w:t>
      </w:r>
    </w:p>
    <w:p>
      <w:pPr>
        <w:spacing w:before="80" w:after="80"/>
        <w:jc w:val="both"/>
      </w:pPr>
      <w:r>
        <w:rPr>
          <w:rFonts w:ascii="Arial" w:cs="Arial" w:eastAsia="Arial" w:hAnsi="Arial"/>
          <w:sz w:val="22"/>
          <w:szCs w:val="22"/>
        </w:rPr>
        <w:t xml:space="preserve">O consumidor economiza em commodities para ter orçamento para experiências — tanto no consumo (viagens, restaurantes selecionados) quanto em produtos (premium pontuais). A luta não é mais entre barato e caro, mas entre sem valor e com valor.</w:t>
      </w:r>
    </w:p>
    <w:p>
      <w:pPr>
        <w:spacing w:before="200" w:after="60"/>
      </w:pPr>
      <w:r>
        <w:rPr>
          <w:rFonts w:ascii="Arial" w:cs="Arial" w:eastAsia="Arial" w:hAnsi="Arial"/>
          <w:b/>
          <w:bCs/>
          <w:color w:val="1A3A5C"/>
          <w:sz w:val="24"/>
          <w:szCs w:val="24"/>
        </w:rPr>
        <w:t xml:space="preserve">Tensão 5: Juro Alto vs. Renda Crescente</w:t>
      </w:r>
    </w:p>
    <w:p>
      <w:pPr>
        <w:spacing w:before="80" w:after="80"/>
        <w:jc w:val="both"/>
      </w:pPr>
      <w:r>
        <w:rPr>
          <w:rFonts w:ascii="Arial" w:cs="Arial" w:eastAsia="Arial" w:hAnsi="Arial"/>
          <w:sz w:val="22"/>
          <w:szCs w:val="22"/>
        </w:rPr>
        <w:t xml:space="preserve">O ambiente macro é paradoxal: renda cresce, emprego está no máximo histórico, mas o custo do crédito inibe investimentos e compras de maior ticket. O consumidor que tem dinheiro no bolso é refreado pelo custo de financiar decisões mais complexas. Isso favorece o consumo de baixo ticket e desestimula grandes compras a prazo.</w:t>
      </w:r>
    </w:p>
    <w:p>
      <w:pPr>
        <w:spacing w:before="160" w:after="0"/>
      </w:pPr>
    </w:p>
    <w:p>
      <w:r>
        <w:br w:type="page"/>
      </w:r>
    </w:p>
    <w:p>
      <w:pPr>
        <w:pStyle w:val="Heading1"/>
        <w:spacing w:before="360" w:after="120"/>
      </w:pPr>
      <w:r>
        <w:rPr>
          <w:rFonts w:ascii="Arial" w:cs="Arial" w:eastAsia="Arial" w:hAnsi="Arial"/>
          <w:b/>
          <w:bCs/>
          <w:color w:val="1A3A5C"/>
          <w:sz w:val="36"/>
          <w:szCs w:val="36"/>
        </w:rPr>
        <w:t xml:space="preserve">Parte VIII — Implicações Estratégicas por Horizonte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Indicador / Categoria</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Variação / Dado</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sz w:val="20"/>
                <w:szCs w:val="20"/>
              </w:rPr>
              <w:t xml:space="preserve">Horizonte</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000000"/>
                <w:sz w:val="20"/>
                <w:szCs w:val="20"/>
              </w:rPr>
              <w:t xml:space="preserve">Implicação Central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Próximos 6 meses (até set/2026)</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Copa do Mundo 2026 como catalisador de consumo (+12% no ticket médio esperado em snacks, bebidas e conveniência). Apostas esportivas em 50% dos lares ampliam engajamento. Eleições municipais como variável de estímulo fiscal. Janela de aceleração do e-commerce com 2M+ novos compradores.</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sz w:val="20"/>
                <w:szCs w:val="20"/>
              </w:rPr>
              <w:t xml:space="preserve">1 a 2 anos</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000000"/>
                <w:sz w:val="20"/>
                <w:szCs w:val="20"/>
              </w:rPr>
              <w:t xml:space="preserve">Democratização dos GLP-1 (fim de patentes): redesenho do portfólio alimentar para porções menores e maior densidade nutricional. Consolidação do modelo híbrido físico-digital no varejo. Crescimento do mercado sênior e pet como segmentos premium. Reorganização do atacarejo para incluir perecíveis com mais protagonismo.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a 5 anos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Impacto estrutural da IA nos processos de compra e na mediação entre marcas e consumidores. Redução da jornada de trabalho como nova realidade do mercado de trabalho. Continuação da interiorização da nova riqueza e redistribuição regional do consumo premium. Consolidação da saúde mental como critério de decisão de compra transversal a todas as categorias.</w:t>
            </w:r>
          </w:p>
        </w:tc>
      </w:tr>
    </w:tbl>
    <w:p>
      <w:pPr>
        <w:spacing w:before="160" w:after="0"/>
      </w:pPr>
    </w:p>
    <w:p>
      <w:r>
        <w:br w:type="page"/>
      </w:r>
    </w:p>
    <w:p>
      <w:pPr>
        <w:pStyle w:val="Heading1"/>
        <w:spacing w:before="360" w:after="120"/>
      </w:pPr>
      <w:r>
        <w:rPr>
          <w:rFonts w:ascii="Arial" w:cs="Arial" w:eastAsia="Arial" w:hAnsi="Arial"/>
          <w:b/>
          <w:bCs/>
          <w:color w:val="1A3A5C"/>
          <w:sz w:val="36"/>
          <w:szCs w:val="36"/>
        </w:rPr>
        <w:t xml:space="preserve">Conclusão — As Perguntas que Este Relatório Abre</w:t>
      </w:r>
    </w:p>
    <w:p>
      <w:pPr>
        <w:spacing w:before="80" w:after="80"/>
        <w:jc w:val="both"/>
      </w:pPr>
      <w:r>
        <w:rPr>
          <w:rFonts w:ascii="Arial" w:cs="Arial" w:eastAsia="Arial" w:hAnsi="Arial"/>
          <w:sz w:val="22"/>
          <w:szCs w:val="22"/>
        </w:rPr>
        <w:t xml:space="preserve">Relatórios de tendências não devem terminar com respostas — devem terminar com as perguntas certas. As mais relevantes que emergem desse período são:</w:t>
      </w:r>
    </w:p>
    <w:p>
      <w:pPr>
        <w:spacing w:before="80" w:after="0"/>
      </w:pPr>
    </w:p>
    <w:p>
      <w:pPr>
        <w:pStyle w:val="ListParagraph"/>
        <w:numPr>
          <w:ilvl w:val="0"/>
          <w:numId w:val="2"/>
        </w:numPr>
        <w:spacing w:before="40" w:after="40"/>
      </w:pPr>
      <w:r>
        <w:rPr>
          <w:rFonts w:ascii="Arial" w:cs="Arial" w:eastAsia="Arial" w:hAnsi="Arial"/>
          <w:sz w:val="22"/>
          <w:szCs w:val="22"/>
        </w:rPr>
        <w:t xml:space="preserve">Como sua marca ou negócio responde à lógica do 'consumidor seletivo' que compra menos, mas melhor? Que valor real e específico você entrega que justifica ser escolhido na nova equação de custo-benefício?</w:t>
      </w:r>
    </w:p>
    <w:p>
      <w:pPr>
        <w:pStyle w:val="ListParagraph"/>
        <w:numPr>
          <w:ilvl w:val="0"/>
          <w:numId w:val="2"/>
        </w:numPr>
        <w:spacing w:before="40" w:after="40"/>
      </w:pPr>
      <w:r>
        <w:rPr>
          <w:rFonts w:ascii="Arial" w:cs="Arial" w:eastAsia="Arial" w:hAnsi="Arial"/>
          <w:sz w:val="22"/>
          <w:szCs w:val="22"/>
        </w:rPr>
        <w:t xml:space="preserve">De que forma sua operação está preparada para o consumidor 'figital', que usa o digital para decidir e o físico para confirmar? Há consistência de preço, sortimento e experiência entre os dois ambientes?</w:t>
      </w:r>
    </w:p>
    <w:p>
      <w:pPr>
        <w:pStyle w:val="ListParagraph"/>
        <w:numPr>
          <w:ilvl w:val="0"/>
          <w:numId w:val="2"/>
        </w:numPr>
        <w:spacing w:before="40" w:after="40"/>
      </w:pPr>
      <w:r>
        <w:rPr>
          <w:rFonts w:ascii="Arial" w:cs="Arial" w:eastAsia="Arial" w:hAnsi="Arial"/>
          <w:sz w:val="22"/>
          <w:szCs w:val="22"/>
        </w:rPr>
        <w:t xml:space="preserve">Sua comunicação e produto estão prontos para o impacto do GLP-1 na categoria alimentar? Porções menores, maior densidade nutricional e apelos funcionais estão no roadmap?</w:t>
      </w:r>
    </w:p>
    <w:p>
      <w:pPr>
        <w:pStyle w:val="ListParagraph"/>
        <w:numPr>
          <w:ilvl w:val="0"/>
          <w:numId w:val="2"/>
        </w:numPr>
        <w:spacing w:before="40" w:after="40"/>
      </w:pPr>
      <w:r>
        <w:rPr>
          <w:rFonts w:ascii="Arial" w:cs="Arial" w:eastAsia="Arial" w:hAnsi="Arial"/>
          <w:sz w:val="22"/>
          <w:szCs w:val="22"/>
        </w:rPr>
        <w:t xml:space="preserve">Como você usa IA para escalar eficiência sem abrir mão da autenticidade que é o novo ativo de confiança dos consumidores? Há uma estratégia clara de uso que preserva a voz humana?</w:t>
      </w:r>
    </w:p>
    <w:p>
      <w:pPr>
        <w:pStyle w:val="ListParagraph"/>
        <w:numPr>
          <w:ilvl w:val="0"/>
          <w:numId w:val="2"/>
        </w:numPr>
        <w:spacing w:before="40" w:after="40"/>
      </w:pPr>
      <w:r>
        <w:rPr>
          <w:rFonts w:ascii="Arial" w:cs="Arial" w:eastAsia="Arial" w:hAnsi="Arial"/>
          <w:sz w:val="22"/>
          <w:szCs w:val="22"/>
        </w:rPr>
        <w:t xml:space="preserve">Você está acessando o consumidor sênior e o pet-owner como os segmentos de crescimento que são, com linguagem, produto e experiência adequados?</w:t>
      </w:r>
    </w:p>
    <w:p>
      <w:pPr>
        <w:spacing w:before="120" w:after="0"/>
      </w:pPr>
    </w:p>
    <w:p>
      <w:pPr>
        <w:pBdr>
          <w:left w:val="single" w:color="2E74B5" w:sz="6" w:space="10"/>
        </w:pBdr>
        <w:spacing w:before="160" w:after="160"/>
        <w:ind w:left="720" w:right="720"/>
      </w:pPr>
      <w:r>
        <w:rPr>
          <w:rFonts w:ascii="Arial" w:cs="Arial" w:eastAsia="Arial" w:hAnsi="Arial"/>
          <w:i/>
          <w:iCs/>
          <w:color w:val="444444"/>
          <w:sz w:val="22"/>
          <w:szCs w:val="22"/>
        </w:rPr>
        <w:t xml:space="preserve">'O mais revelador nas culturas não é o que as pessoas dizem acreditar — é o que elas fazem quando ninguém está olhando, e o que elas jamais pensariam em questionar.' — Protocolo de Pesquisa das Grandes Mudanças</w:t>
      </w:r>
    </w:p>
    <w:p>
      <w:pPr>
        <w:spacing w:before="120" w:after="0"/>
      </w:pPr>
    </w:p>
    <w:p>
      <w:pPr>
        <w:pBdr>
          <w:bottom w:val="single" w:color="DDDDDD" w:sz="4" w:space="1"/>
        </w:pBdr>
        <w:spacing w:before="120" w:after="120"/>
      </w:pPr>
    </w:p>
    <w:p>
      <w:pPr>
        <w:spacing w:before="80" w:after="80"/>
        <w:jc w:val="both"/>
      </w:pPr>
      <w:r>
        <w:rPr>
          <w:rFonts w:ascii="Arial" w:cs="Arial" w:eastAsia="Arial" w:hAnsi="Arial"/>
          <w:color w:val="888888"/>
          <w:sz w:val="18"/>
          <w:szCs w:val="18"/>
        </w:rPr>
        <w:t xml:space="preserve">Fontes consultadas: Worldpanel by Numerator, McKinsey ConsumerWise, Scanntech, IBGE/CAGED, Banco Central do Brasil, XP Investimentos, C6 Bank, Itaú BBA, FGV IBRE, Rabobank, AWS, IAB Brasil, ABComm, Emarketer, Dentsu, NielsenIQ, Sebrae, MCF Consultoria/Ferreirinha Factor 2025.</w:t>
      </w:r>
    </w:p>
    <w:p>
      <w:pPr>
        <w:spacing w:before="80" w:after="80"/>
        <w:jc w:val="both"/>
      </w:pPr>
      <w:r>
        <w:rPr>
          <w:rFonts w:ascii="Arial" w:cs="Arial" w:eastAsia="Arial" w:hAnsi="Arial"/>
          <w:i/>
          <w:iCs/>
          <w:color w:val="888888"/>
          <w:sz w:val="18"/>
          <w:szCs w:val="18"/>
        </w:rPr>
        <w:t xml:space="preserve">Relatório compilado em fevereiro de 2026. Data de corte dos dados: fevereiro de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2026-02-28T01:27:11.336Z</dcterms:created>
  <dcterms:modified xsi:type="dcterms:W3CDTF">2026-02-28T01:27:11.336Z</dcterms:modified>
</cp:coreProperties>
</file>

<file path=docProps/custom.xml><?xml version="1.0" encoding="utf-8"?>
<Properties xmlns="http://schemas.openxmlformats.org/officeDocument/2006/custom-properties" xmlns:vt="http://schemas.openxmlformats.org/officeDocument/2006/docPropsVTypes"/>
</file>