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0"/>
        <w:jc w:val="center"/>
      </w:pPr>
      <w:r>
        <w:rPr>
          <w:rFonts w:ascii="Arial" w:cs="Arial" w:eastAsia="Arial" w:hAnsi="Arial"/>
          <w:b/>
          <w:bCs/>
          <w:caps/>
          <w:color w:val="999999"/>
          <w:sz w:val="22"/>
          <w:szCs w:val="22"/>
        </w:rPr>
        <w:t xml:space="preserve">RELATÓRIO DE INTELIGÊNCIA TECNOLÓGICA &amp; COMPORTAMENTO HUMANO</w:t>
      </w:r>
    </w:p>
    <w:p>
      <w:pPr>
        <w:spacing w:before="200" w:after="0"/>
        <w:jc w:val="center"/>
      </w:pPr>
      <w:r>
        <w:rPr>
          <w:rFonts w:ascii="Arial" w:cs="Arial" w:eastAsia="Arial" w:hAnsi="Arial"/>
          <w:b/>
          <w:bCs/>
          <w:color w:val="0A3161"/>
          <w:sz w:val="60"/>
          <w:szCs w:val="60"/>
        </w:rPr>
        <w:t xml:space="preserve">Tecnologia e Mudanças</w:t>
      </w:r>
    </w:p>
    <w:p>
      <w:pPr>
        <w:spacing w:before="60" w:after="0"/>
        <w:jc w:val="center"/>
      </w:pPr>
      <w:r>
        <w:rPr>
          <w:rFonts w:ascii="Arial" w:cs="Arial" w:eastAsia="Arial" w:hAnsi="Arial"/>
          <w:b/>
          <w:bCs/>
          <w:color w:val="0A3161"/>
          <w:sz w:val="60"/>
          <w:szCs w:val="60"/>
        </w:rPr>
        <w:t xml:space="preserve">Comportamentais</w:t>
      </w:r>
    </w:p>
    <w:p>
      <w:pPr>
        <w:spacing w:before="80" w:after="0"/>
        <w:jc w:val="center"/>
      </w:pPr>
      <w:r>
        <w:rPr>
          <w:rFonts w:ascii="Arial" w:cs="Arial" w:eastAsia="Arial" w:hAnsi="Arial"/>
          <w:i/>
          <w:iCs/>
          <w:color w:val="666666"/>
          <w:sz w:val="26"/>
          <w:szCs w:val="26"/>
        </w:rPr>
        <w:t xml:space="preserve">Como a tecnologia está redesenhando quem somos, o que fazemos e como decidimos</w:t>
      </w:r>
    </w:p>
    <w:p>
      <w:pPr>
        <w:spacing w:before="120" w:after="0"/>
        <w:jc w:val="center"/>
      </w:pPr>
      <w:r>
        <w:rPr>
          <w:rFonts w:ascii="Arial" w:cs="Arial" w:eastAsia="Arial" w:hAnsi="Arial"/>
          <w:b/>
          <w:bCs/>
          <w:color w:val="B71C1C"/>
          <w:sz w:val="30"/>
          <w:szCs w:val="30"/>
        </w:rPr>
        <w:t xml:space="preserve">Outubro 2025 – Março 2026 · Perspectiva Global e Brasil</w:t>
      </w:r>
    </w:p>
    <w:p>
      <w:pPr>
        <w:pBdr>
          <w:top w:val="single" w:color="1565C0" w:sz="4" w:space="10"/>
        </w:pBdr>
        <w:spacing w:before="280" w:after="0"/>
        <w:jc w:val="center"/>
      </w:pPr>
    </w:p>
    <w:p>
      <w:pPr>
        <w:spacing w:before="140" w:after="0"/>
        <w:jc w:val="center"/>
      </w:pPr>
      <w:r>
        <w:rPr>
          <w:rFonts w:ascii="Arial" w:cs="Arial" w:eastAsia="Arial" w:hAnsi="Arial"/>
          <w:i/>
          <w:iCs/>
          <w:color w:val="777777"/>
          <w:sz w:val="18"/>
          <w:szCs w:val="18"/>
        </w:rPr>
        <w:t xml:space="preserve">Fontes: Microsoft AI Economy Institute • Menlo Ventures • Adobe/Oxford Economics • Deloitte Insights • IDC FutureScape • Gartner • McKinsey • NIH/JAMA • Columbia University • Weill Cornell Medicine</w:t>
      </w:r>
    </w:p>
    <w:p>
      <w:pPr>
        <w:spacing w:before="80" w:after="2200"/>
        <w:jc w:val="center"/>
      </w:pPr>
      <w:r>
        <w:rPr>
          <w:rFonts w:ascii="Arial" w:cs="Arial" w:eastAsia="Arial" w:hAnsi="Arial"/>
          <w:color w:val="888888"/>
          <w:sz w:val="18"/>
          <w:szCs w:val="18"/>
        </w:rPr>
        <w:t xml:space="preserve">Fevereiro de 2026 — Visão Global &amp; Brasil</w:t>
      </w:r>
    </w:p>
    <w:p>
      <w:r>
        <w:br w:type="page"/>
      </w:r>
    </w:p>
    <w:p>
      <w:pPr>
        <w:pStyle w:val="Heading1"/>
        <w:spacing w:before="360" w:after="120"/>
      </w:pPr>
      <w:r>
        <w:rPr>
          <w:rFonts w:ascii="Arial" w:cs="Arial" w:eastAsia="Arial" w:hAnsi="Arial"/>
          <w:b/>
          <w:bCs/>
          <w:color w:val="0A3161"/>
          <w:sz w:val="38"/>
          <w:szCs w:val="38"/>
        </w:rPr>
        <w:t xml:space="preserve">Sumário Executivo — A Tripla Revolução</w:t>
      </w:r>
    </w:p>
    <w:p>
      <w:pPr>
        <w:spacing w:before="80" w:after="80"/>
        <w:jc w:val="both"/>
      </w:pPr>
      <w:r>
        <w:rPr>
          <w:rFonts w:ascii="Arial" w:cs="Arial" w:eastAsia="Arial" w:hAnsi="Arial"/>
          <w:sz w:val="22"/>
          <w:szCs w:val="22"/>
        </w:rPr>
        <w:t xml:space="preserve">O período entre outubro de 2025 e março de 2026 marca a convergência de três revoluções tecnológicas simultâneas, cada uma capaz de remodelar o comportamento humano de forma isolada — e cujo encontro produz uma transformação sem precedentes na história recente. A primeira é a adoção em massa da inteligência artificial generativa, que passou de ferramenta de nicho para infraestrutura cotidiana em menos de três anos. A segunda é a ascensão da IA agêntica, que deixou de responder perguntas para agir no mundo de forma autônoma, em nome de pessoas e organizações. A terceira é a crise de saúde comportamental digital: uma epidemia silenciosa de dependência, ansiedade e fragmentação cognitiva causada pelo design adictivo das plataformas que a geração mais jovem habita como ambiente primário.</w:t>
      </w:r>
    </w:p>
    <w:p>
      <w:pPr>
        <w:spacing w:before="80" w:after="80"/>
        <w:jc w:val="both"/>
      </w:pPr>
      <w:r>
        <w:rPr>
          <w:rFonts w:ascii="Arial" w:cs="Arial" w:eastAsia="Arial" w:hAnsi="Arial"/>
          <w:sz w:val="22"/>
          <w:szCs w:val="22"/>
        </w:rPr>
        <w:t xml:space="preserve">Essas três revoluções não ocorrem em paralelo — elas se alimentam mutuamente. A IA agêntica automatiza o trabalho e gera ansiedade de obsolescência. As redes sociais capturam a atenção liberada pelo tempo "economizado" por ferramentas de IA. E a dependência digital compromete exatamente as capacidades cognitivas — foco, criatividade, pensamento crítico — que os novos empregos da era da IA mais exigem. Compreender essa triangulação é a chave para navegar o próximo ciclo.</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0FD" w:val="clear"/>
            <w:tcMar>
              <w:top w:type="dxa" w:w="140"/>
              <w:left w:type="dxa" w:w="220"/>
              <w:bottom w:type="dxa" w:w="140"/>
              <w:right w:type="dxa" w:w="220"/>
            </w:tcMar>
          </w:tcPr>
          <w:p>
            <w:pPr>
              <w:spacing w:before="0" w:after="60"/>
            </w:pPr>
            <w:r>
              <w:rPr>
                <w:rFonts w:ascii="Arial" w:cs="Arial" w:eastAsia="Arial" w:hAnsi="Arial"/>
                <w:b/>
                <w:bCs/>
                <w:color w:val="B71C1C"/>
                <w:sz w:val="22"/>
                <w:szCs w:val="22"/>
              </w:rPr>
              <w:t xml:space="preserve">Tese Central</w:t>
            </w:r>
          </w:p>
          <w:p>
            <w:pPr>
              <w:spacing w:before="0" w:after="0"/>
              <w:jc w:val="both"/>
            </w:pPr>
            <w:r>
              <w:rPr>
                <w:rFonts w:ascii="Arial" w:cs="Arial" w:eastAsia="Arial" w:hAnsi="Arial"/>
                <w:sz w:val="22"/>
                <w:szCs w:val="22"/>
              </w:rPr>
              <w:t xml:space="preserve">A tecnologia deixou de ser ferramenta e tornou-se ambiente. O ser humano contemporâneo não usa tecnologia: ele habita tecnologia. Essa transição muda tudo — como aprendemos, como trabalhamos, como nos relacionamos, como tomamos decisões e como regulamos nossas emoções. O desafio central de 2026 não é tecnológico: é humano.</w:t>
            </w:r>
          </w:p>
        </w:tc>
      </w:tr>
    </w:tbl>
    <w:p>
      <w:pPr>
        <w:spacing w:before="160" w:after="0"/>
      </w:pPr>
    </w:p>
    <w:p>
      <w:r>
        <w:br w:type="page"/>
      </w:r>
    </w:p>
    <w:p>
      <w:pPr>
        <w:pStyle w:val="Heading1"/>
        <w:spacing w:before="360" w:after="120"/>
      </w:pPr>
      <w:r>
        <w:rPr>
          <w:rFonts w:ascii="Arial" w:cs="Arial" w:eastAsia="Arial" w:hAnsi="Arial"/>
          <w:b/>
          <w:bCs/>
          <w:color w:val="0A3161"/>
          <w:sz w:val="38"/>
          <w:szCs w:val="38"/>
        </w:rPr>
        <w:t xml:space="preserve">Parte I — A IA no Cotidiano: Da Curiosidade ao Hábito</w:t>
      </w:r>
    </w:p>
    <w:p>
      <w:pPr>
        <w:pStyle w:val="Heading2"/>
        <w:spacing w:before="280" w:after="80"/>
      </w:pPr>
      <w:r>
        <w:rPr>
          <w:rFonts w:ascii="Arial" w:cs="Arial" w:eastAsia="Arial" w:hAnsi="Arial"/>
          <w:b/>
          <w:bCs/>
          <w:color w:val="1565C0"/>
          <w:sz w:val="28"/>
          <w:szCs w:val="28"/>
        </w:rPr>
        <w:t xml:space="preserve">1.1. Os Números da Adoção Global</w:t>
      </w:r>
    </w:p>
    <w:p>
      <w:pPr>
        <w:spacing w:before="80" w:after="80"/>
        <w:jc w:val="both"/>
      </w:pPr>
      <w:r>
        <w:rPr>
          <w:rFonts w:ascii="Arial" w:cs="Arial" w:eastAsia="Arial" w:hAnsi="Arial"/>
          <w:sz w:val="22"/>
          <w:szCs w:val="22"/>
        </w:rPr>
        <w:t xml:space="preserve">A adoção global de ferramentas de inteligência artificial generativa atingiu 16,3% da população mundial no segundo semestre de 2025 — alta expressiva sobre os 15,1% do primeiro semestre, segundo o Microsoft AI Economy Institute. Em termos absolutos, 378 milhões de pessoas já utilizam ferramentas de IA regularmente em 2025, representando o maior salto anual já registrado: 64 milhões de novos usuários em 12 meses. Para colocar em perspectiva, essa base atual é mais de três vezes o volume de 116 milhões de usuários registrado apenas cinco anos atrás.</w:t>
      </w:r>
    </w:p>
    <w:p>
      <w:pPr>
        <w:spacing w:before="80" w:after="80"/>
        <w:jc w:val="both"/>
      </w:pPr>
      <w:r>
        <w:rPr>
          <w:rFonts w:ascii="Arial" w:cs="Arial" w:eastAsia="Arial" w:hAnsi="Arial"/>
          <w:sz w:val="22"/>
          <w:szCs w:val="22"/>
        </w:rPr>
        <w:t xml:space="preserve">Mas o dado mais revelador não é o crescimento absoluto — é a transformação qualitativa do uso. Cerca de um em cada cinco adultos americanos usa IA diariamente. Nos segmentos mais conectados, o uso deixou de ser experimental e tornou-se habitual: profissionais de marketing, desenvolvedores, designers e gestores relatam que a IA "passou a ser central no fluxo de trabalho, não apenas parte dele", segundo o relatório Menlo Ventures de 2025. A tecnologia deixou de ser uma camada opcional e passou a ser a infraestrutura invisível de decisões e criações cotidianas.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A3161" w:val="clear"/>
            <w:tcMar>
              <w:top w:type="dxa" w:w="90"/>
              <w:left w:type="dxa" w:w="130"/>
              <w:bottom w:type="dxa" w:w="90"/>
              <w:right w:type="dxa" w:w="80"/>
            </w:tcMar>
          </w:tcPr>
          <w:p>
            <w:r>
              <w:rPr>
                <w:rFonts w:ascii="Arial" w:cs="Arial" w:eastAsia="Arial" w:hAnsi="Arial"/>
                <w:b/>
                <w:bCs/>
                <w:color w:val="FFFFFF"/>
                <w:sz w:val="20"/>
                <w:szCs w:val="20"/>
              </w:rPr>
              <w:t xml:space="preserve">Indicador de Adoção Global</w:t>
            </w:r>
          </w:p>
        </w:tc>
        <w:tc>
          <w:tcPr>
            <w:tcW w:type="dxa" w:w="4680"/>
            <w:tcBorders>
              <w:top w:val="single" w:color="CCCCCC" w:sz="1"/>
              <w:left w:val="single" w:color="CCCCCC" w:sz="1"/>
              <w:bottom w:val="single" w:color="CCCCCC" w:sz="1"/>
              <w:right w:val="single" w:color="CCCCCC" w:sz="1"/>
            </w:tcBorders>
            <w:shd w:fill="0A3161" w:val="clear"/>
            <w:tcMar>
              <w:top w:type="dxa" w:w="90"/>
              <w:left w:type="dxa" w:w="130"/>
              <w:bottom w:type="dxa" w:w="90"/>
              <w:right w:type="dxa" w:w="80"/>
            </w:tcMar>
          </w:tcPr>
          <w:p>
            <w:r>
              <w:rPr>
                <w:rFonts w:ascii="Arial" w:cs="Arial" w:eastAsia="Arial" w:hAnsi="Arial"/>
                <w:b/>
                <w:bCs/>
                <w:color w:val="FFFFFF"/>
                <w:sz w:val="20"/>
                <w:szCs w:val="20"/>
              </w:rPr>
              <w:t xml:space="preserve">Dado (2025–2026)</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Usuários globais de IA generativa</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bCs/>
                <w:color w:val="B71C1C"/>
                <w:sz w:val="20"/>
                <w:szCs w:val="20"/>
              </w:rPr>
              <w:t xml:space="preserve">378 milhões — maior base já registrada</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Novos usuários em 12 meses (2025)</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D1B2A"/>
                <w:sz w:val="20"/>
                <w:szCs w:val="20"/>
              </w:rPr>
              <w:t xml:space="preserve">64 milhões — maior crescimento anual da história</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Adoção global (% população mundial)</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D1B2A"/>
                <w:sz w:val="20"/>
                <w:szCs w:val="20"/>
              </w:rPr>
              <w:t xml:space="preserve">16,3% no 2º semestre de 2025</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Adultos americanos usando IA diariamente</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bCs/>
                <w:color w:val="B71C1C"/>
                <w:sz w:val="20"/>
                <w:szCs w:val="20"/>
              </w:rPr>
              <w:t xml:space="preserve">~20% (1 em cada 5)</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Uso de IA para busca (jovens UK &lt; 40 anos)</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D1B2A"/>
                <w:sz w:val="20"/>
                <w:szCs w:val="20"/>
              </w:rPr>
              <w:t xml:space="preserve">37% usam IA na metade ou mais de suas buscas</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Vendas influenciadas por IA (EUA, festas 2025)</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D1B2A"/>
                <w:sz w:val="20"/>
                <w:szCs w:val="20"/>
              </w:rPr>
              <w:t xml:space="preserve">US$ 229 bilhões — novo recorde</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Crescimento de interações por chatbot (2025)</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D1B2A"/>
                <w:sz w:val="20"/>
                <w:szCs w:val="20"/>
              </w:rPr>
              <w:t xml:space="preserve">+42% vs. 2024</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Mercado global de IA (previsão 2026)</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D1B2A"/>
                <w:sz w:val="20"/>
                <w:szCs w:val="20"/>
              </w:rPr>
              <w:t xml:space="preserve">Supera US$ 240 bilhões em valor total</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ROI médio em GenAI (empresas adotantes)</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D1B2A"/>
                <w:sz w:val="20"/>
                <w:szCs w:val="20"/>
              </w:rPr>
              <w:t xml:space="preserve">3,7x para cada dólar investido</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Empresas usando GenAI (vs 2023–24)</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bCs/>
                <w:color w:val="B71C1C"/>
                <w:sz w:val="20"/>
                <w:szCs w:val="20"/>
              </w:rPr>
              <w:t xml:space="preserve">55% → 75% — alta de 20 p.p. em 1 ano</w:t>
            </w:r>
          </w:p>
        </w:tc>
      </w:tr>
    </w:tbl>
    <w:p>
      <w:pPr>
        <w:spacing w:before="120" w:after="0"/>
      </w:pPr>
    </w:p>
    <w:p>
      <w:pPr>
        <w:pStyle w:val="Heading2"/>
        <w:spacing w:before="280" w:after="80"/>
      </w:pPr>
      <w:r>
        <w:rPr>
          <w:rFonts w:ascii="Arial" w:cs="Arial" w:eastAsia="Arial" w:hAnsi="Arial"/>
          <w:b/>
          <w:bCs/>
          <w:color w:val="1565C0"/>
          <w:sz w:val="28"/>
          <w:szCs w:val="28"/>
        </w:rPr>
        <w:t xml:space="preserve">1.2. Como as Pessoas Realmente Usam IA — O Consumidor Utilitário</w:t>
      </w:r>
    </w:p>
    <w:p>
      <w:pPr>
        <w:spacing w:before="80" w:after="80"/>
        <w:jc w:val="both"/>
      </w:pPr>
      <w:r>
        <w:rPr>
          <w:rFonts w:ascii="Arial" w:cs="Arial" w:eastAsia="Arial" w:hAnsi="Arial"/>
          <w:sz w:val="22"/>
          <w:szCs w:val="22"/>
        </w:rPr>
        <w:t xml:space="preserve">O relatório State of Consumer AI da Menlo Ventures revelou um padrão comportamental surpreendente: apesar da proliferação de ferramentas especializadas, os consumidores tendem a usar seu assistente geral de preferência para praticamente tudo, e só buscam alternativas quando ele falha. Isso comprova a tese do "consumidor utilitário de IA": as pessoas adotam ferramentas de IA não por sofisticação tecnológica, mas porque elas tornam mais fácil e rápido o que já precisam fazer.</w:t>
      </w:r>
    </w:p>
    <w:p>
      <w:pPr>
        <w:spacing w:before="80" w:after="80"/>
        <w:jc w:val="both"/>
      </w:pPr>
      <w:r>
        <w:rPr>
          <w:rFonts w:ascii="Arial" w:cs="Arial" w:eastAsia="Arial" w:hAnsi="Arial"/>
          <w:sz w:val="22"/>
          <w:szCs w:val="22"/>
        </w:rPr>
        <w:t xml:space="preserve">As categorias com maior penetração de uso de IA no dia a dia revelam muito sobre como a tecnologia está mudando o comportamento: criação de conteúdo (textos, apresentações, e-mails), busca e pesquisa de informações, apoio a decisões de compra (47% dos consumidores do Reino Unido e Canadá já usam ou planejam usar IA para pesquisar produtos), assistência financeira pessoal e, crescentemente, apoio emocional e relacional. Este último dado é o mais revelador da profundidade da transformação: 18% dos adultos que usam tecnologia para se conectar já usaram IA para iniciar conversas ou encontrar grupos; 31% para aconselhamento em relacionamentos amorosos; e 26% para manter amizades virtuais.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8E1" w:val="clear"/>
            <w:tcMar>
              <w:top w:type="dxa" w:w="140"/>
              <w:left w:type="dxa" w:w="220"/>
              <w:bottom w:type="dxa" w:w="140"/>
              <w:right w:type="dxa" w:w="220"/>
            </w:tcMar>
          </w:tcPr>
          <w:p>
            <w:pPr>
              <w:spacing w:before="0" w:after="60"/>
            </w:pPr>
            <w:r>
              <w:rPr>
                <w:rFonts w:ascii="Arial" w:cs="Arial" w:eastAsia="Arial" w:hAnsi="Arial"/>
                <w:b/>
                <w:bCs/>
                <w:color w:val="1B5E20"/>
                <w:sz w:val="22"/>
                <w:szCs w:val="22"/>
              </w:rPr>
              <w:t xml:space="preserve">O Gap de Monetização — e o que ele revela</w:t>
            </w:r>
          </w:p>
          <w:p>
            <w:pPr>
              <w:spacing w:before="0" w:after="0"/>
              <w:jc w:val="both"/>
            </w:pPr>
            <w:r>
              <w:rPr>
                <w:rFonts w:ascii="Arial" w:cs="Arial" w:eastAsia="Arial" w:hAnsi="Arial"/>
                <w:sz w:val="22"/>
                <w:szCs w:val="22"/>
              </w:rPr>
              <w:t xml:space="preserve">Apenas 3% dos usuários de IA pagam por serviços premium, e até o ChatGPT converte apenas 5% de seus usuários ativos em assinantes. Isso não é falha comercial: é evidência de que o valor percebido ainda não supera o custo psicológico de comprometimento com uma ferramenta nova. À medida que o uso se aprofunda e os ganhos de produtividade se tornam tangíveis e indispensáveis, a conversão para pagamento deve acelerar substancialmente em 2026-2027.</w:t>
            </w:r>
          </w:p>
        </w:tc>
      </w:tr>
    </w:tbl>
    <w:p>
      <w:pPr>
        <w:spacing w:before="160" w:after="0"/>
      </w:pPr>
    </w:p>
    <w:p>
      <w:pPr>
        <w:pStyle w:val="Heading2"/>
        <w:spacing w:before="280" w:after="80"/>
      </w:pPr>
      <w:r>
        <w:rPr>
          <w:rFonts w:ascii="Arial" w:cs="Arial" w:eastAsia="Arial" w:hAnsi="Arial"/>
          <w:b/>
          <w:bCs/>
          <w:color w:val="1565C0"/>
          <w:sz w:val="28"/>
          <w:szCs w:val="28"/>
        </w:rPr>
        <w:t xml:space="preserve">1.3. A IA como Motor de Desigualdade Digital — A Divisão que Cresce</w:t>
      </w:r>
    </w:p>
    <w:p>
      <w:pPr>
        <w:spacing w:before="80" w:after="80"/>
        <w:jc w:val="both"/>
      </w:pPr>
      <w:r>
        <w:rPr>
          <w:rFonts w:ascii="Arial" w:cs="Arial" w:eastAsia="Arial" w:hAnsi="Arial"/>
          <w:sz w:val="22"/>
          <w:szCs w:val="22"/>
        </w:rPr>
        <w:t xml:space="preserve">O relatório do Microsoft AI Economy Institute sobre 2025 traz um dado que contraria a narrativa otimista de democratização: enquanto os Emirados Árabes Unidos lideram o mundo com 63,5% de adoção de IA na população adulta e Singapura aparece com 60,9%, os Estados Unidos — que lideram em infraestrutura e desenvolvimento de modelos — ocupam apenas o 24º lugar, com 28,3% de adoção, tendo caído uma posição em relação à primeira metade do ano.</w:t>
      </w:r>
    </w:p>
    <w:p>
      <w:pPr>
        <w:spacing w:before="80" w:after="80"/>
        <w:jc w:val="both"/>
      </w:pPr>
      <w:r>
        <w:rPr>
          <w:rFonts w:ascii="Arial" w:cs="Arial" w:eastAsia="Arial" w:hAnsi="Arial"/>
          <w:sz w:val="22"/>
          <w:szCs w:val="22"/>
        </w:rPr>
        <w:t xml:space="preserve">Esse paradoxo revela que adoção não é função apenas de acesso ou capacidade tecnológica: é função de cultura, política pública, incentivos e design de produto. Países menores e mais homogêneos conseguem mobilizar adoção nacional com mais eficiência que mercados grandes e fragmentados. A Coreia do Sul subiu 7 posições (do 25º para o 18º lugar) em apenas um semestre, impulsionada por uma combinação de política pública coordenada, melhora nas capacidades dos modelos em coreano com o lançamento do GPT-4o, e um fenômeno viral (imagens estilo Ghibli geradas por IA que se espalharam nas redes sociais coreanas em abril de 2025). O DeepSeek, por sua vez, conquistou mercados africanos e de países com acesso restrito a serviços ocidentais, com adoção 2 a 4 vezes maior do que em outras regiões.</w:t>
      </w:r>
    </w:p>
    <w:p>
      <w:pPr>
        <w:spacing w:before="160" w:after="0"/>
      </w:pPr>
    </w:p>
    <w:p>
      <w:r>
        <w:br w:type="page"/>
      </w:r>
    </w:p>
    <w:p>
      <w:pPr>
        <w:pStyle w:val="Heading1"/>
        <w:spacing w:before="360" w:after="120"/>
      </w:pPr>
      <w:r>
        <w:rPr>
          <w:rFonts w:ascii="Arial" w:cs="Arial" w:eastAsia="Arial" w:hAnsi="Arial"/>
          <w:b/>
          <w:bCs/>
          <w:color w:val="0A3161"/>
          <w:sz w:val="38"/>
          <w:szCs w:val="38"/>
        </w:rPr>
        <w:t xml:space="preserve">Parte II — A IA Agêntica: Quando a Máquina Passa a Agir</w:t>
      </w:r>
    </w:p>
    <w:p>
      <w:pPr>
        <w:pStyle w:val="Heading2"/>
        <w:spacing w:before="280" w:after="80"/>
      </w:pPr>
      <w:r>
        <w:rPr>
          <w:rFonts w:ascii="Arial" w:cs="Arial" w:eastAsia="Arial" w:hAnsi="Arial"/>
          <w:b/>
          <w:bCs/>
          <w:color w:val="1565C0"/>
          <w:sz w:val="28"/>
          <w:szCs w:val="28"/>
        </w:rPr>
        <w:t xml:space="preserve">2.1. O Salto Qualitativo: de Assistente a Agente</w:t>
      </w:r>
    </w:p>
    <w:p>
      <w:pPr>
        <w:spacing w:before="80" w:after="80"/>
        <w:jc w:val="both"/>
      </w:pPr>
      <w:r>
        <w:rPr>
          <w:rFonts w:ascii="Arial" w:cs="Arial" w:eastAsia="Arial" w:hAnsi="Arial"/>
          <w:sz w:val="22"/>
          <w:szCs w:val="22"/>
        </w:rPr>
        <w:t xml:space="preserve">A mudança mais significativa do período não foi quantitativa — foi qualitativa. A IA generativa que respondia perguntas evoluiu para a IA agêntica que toma decisões e executa ações. A diferença é fundamental: enquanto um chatbot aguarda a próxima instrução, um agente avalia situações, define estratégias e atua de forma autônoma para atingir objetivos, sem supervisão constante. Em termos práticos: em vez de "me explique como fazer X", o agente faz X.</w:t>
      </w:r>
    </w:p>
    <w:p>
      <w:pPr>
        <w:spacing w:before="80" w:after="80"/>
        <w:jc w:val="both"/>
      </w:pPr>
      <w:r>
        <w:rPr>
          <w:rFonts w:ascii="Arial" w:cs="Arial" w:eastAsia="Arial" w:hAnsi="Arial"/>
          <w:sz w:val="22"/>
          <w:szCs w:val="22"/>
        </w:rPr>
        <w:t xml:space="preserve">O Gartner projeta que 15% das decisões de trabalho do dia a dia serão tomadas de forma autônoma por IA agêntica até 2028 — ante zero por cento em 2024. Até lá, a mesma organização prevê que 33% das aplicações corporativas já incluirão algum componente agêntico. O IDC prevê que 40% dos papéis de trabalho no G2000 envolverão interação direta com sistemas de IA até 2026. A Adobe e a Oxford Economics, em pesquisa com 3.000 executivos conduzida entre outubro e novembro de 2025, encontraram que cerca de um terço das organizações já prioriza a implementação de IA agêntica sobre a IA generativa convencional.</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A3161" w:val="clear"/>
            <w:tcMar>
              <w:top w:type="dxa" w:w="90"/>
              <w:left w:type="dxa" w:w="130"/>
              <w:bottom w:type="dxa" w:w="90"/>
              <w:right w:type="dxa" w:w="80"/>
            </w:tcMar>
          </w:tcPr>
          <w:p>
            <w:r>
              <w:rPr>
                <w:rFonts w:ascii="Arial" w:cs="Arial" w:eastAsia="Arial" w:hAnsi="Arial"/>
                <w:b/>
                <w:bCs/>
                <w:color w:val="FFFFFF"/>
                <w:sz w:val="20"/>
                <w:szCs w:val="20"/>
              </w:rPr>
              <w:t xml:space="preserve">Indicador — IA Agêntica</w:t>
            </w:r>
          </w:p>
        </w:tc>
        <w:tc>
          <w:tcPr>
            <w:tcW w:type="dxa" w:w="4680"/>
            <w:tcBorders>
              <w:top w:val="single" w:color="CCCCCC" w:sz="1"/>
              <w:left w:val="single" w:color="CCCCCC" w:sz="1"/>
              <w:bottom w:val="single" w:color="CCCCCC" w:sz="1"/>
              <w:right w:val="single" w:color="CCCCCC" w:sz="1"/>
            </w:tcBorders>
            <w:shd w:fill="0A3161" w:val="clear"/>
            <w:tcMar>
              <w:top w:type="dxa" w:w="90"/>
              <w:left w:type="dxa" w:w="130"/>
              <w:bottom w:type="dxa" w:w="90"/>
              <w:right w:type="dxa" w:w="80"/>
            </w:tcMar>
          </w:tcPr>
          <w:p>
            <w:r>
              <w:rPr>
                <w:rFonts w:ascii="Arial" w:cs="Arial" w:eastAsia="Arial" w:hAnsi="Arial"/>
                <w:b/>
                <w:bCs/>
                <w:color w:val="FFFFFF"/>
                <w:sz w:val="20"/>
                <w:szCs w:val="20"/>
              </w:rPr>
              <w:t xml:space="preserve">Dado / Projeção</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Mercado de agentes IA (2025)</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bCs/>
                <w:color w:val="B71C1C"/>
                <w:sz w:val="20"/>
                <w:szCs w:val="20"/>
              </w:rPr>
              <w:t xml:space="preserve">US$ 7,84 bi → projeção de US$ 52,62 bi até 2030 (CAGR 46,3%)</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Organizações explorando IA agêntica</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D1B2A"/>
                <w:sz w:val="20"/>
                <w:szCs w:val="20"/>
              </w:rPr>
              <w:t xml:space="preserve">30% explorando, 38% em piloto, 14% prontos para produção (Deloitte)</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CIOs com IA agêntica como prioridade estratégica</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D1B2A"/>
                <w:sz w:val="20"/>
                <w:szCs w:val="20"/>
              </w:rPr>
              <w:t xml:space="preserve">89% — Futurum Group</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Decisões de trabalho autônomas por IA (2028)</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D1B2A"/>
                <w:sz w:val="20"/>
                <w:szCs w:val="20"/>
              </w:rPr>
              <w:t xml:space="preserve">15% das decisões cotidianas — Gartner</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Apps corporativas com IA agêntica (2028)</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D1B2A"/>
                <w:sz w:val="20"/>
                <w:szCs w:val="20"/>
              </w:rPr>
              <w:t xml:space="preserve">33% — Gartner</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Executivos considerando redução de headcount via IA</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D1B2A"/>
                <w:sz w:val="20"/>
                <w:szCs w:val="20"/>
              </w:rPr>
              <w:t xml:space="preserve">1 em cada 3 — Microsoft Work Trend Index</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Executivos que preferem IA como labor digital complementar</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D1B2A"/>
                <w:sz w:val="20"/>
                <w:szCs w:val="20"/>
              </w:rPr>
              <w:t xml:space="preserve">~50% — Microsoft Work Trend Index</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Projetos agênticos cancelados até 2027 (projeção)</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D1B2A"/>
                <w:sz w:val="20"/>
                <w:szCs w:val="20"/>
              </w:rPr>
              <w:t xml:space="preserve">&gt;40% — Gartner (custo, ROI nebuloso, legado)</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Organizações com estratégia agêntica formal</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D1B2A"/>
                <w:sz w:val="20"/>
                <w:szCs w:val="20"/>
              </w:rPr>
              <w:t xml:space="preserve">65% ainda sem estratégia ou em fase inicial</w:t>
            </w:r>
          </w:p>
        </w:tc>
      </w:tr>
    </w:tbl>
    <w:p>
      <w:pPr>
        <w:spacing w:before="120" w:after="0"/>
      </w:pPr>
    </w:p>
    <w:p>
      <w:pPr>
        <w:pStyle w:val="Heading2"/>
        <w:spacing w:before="280" w:after="80"/>
      </w:pPr>
      <w:r>
        <w:rPr>
          <w:rFonts w:ascii="Arial" w:cs="Arial" w:eastAsia="Arial" w:hAnsi="Arial"/>
          <w:b/>
          <w:bCs/>
          <w:color w:val="1565C0"/>
          <w:sz w:val="28"/>
          <w:szCs w:val="28"/>
        </w:rPr>
        <w:t xml:space="preserve">2.2. O Impacto no Trabalho — Entre a Promessa e a Realidade</w:t>
      </w:r>
    </w:p>
    <w:p>
      <w:pPr>
        <w:spacing w:before="80" w:after="80"/>
        <w:jc w:val="both"/>
      </w:pPr>
      <w:r>
        <w:rPr>
          <w:rFonts w:ascii="Arial" w:cs="Arial" w:eastAsia="Arial" w:hAnsi="Arial"/>
          <w:sz w:val="22"/>
          <w:szCs w:val="22"/>
        </w:rPr>
        <w:t xml:space="preserve">O debate sobre o impacto da IA no trabalho é o mais polarizado do período. De um lado, a OIT estima que 25% dos empregos globais — mais de 600 milhões de postos — estão expostos a efeitos da IA generativa. Um estudo conjunto da OIT e do Banco Mundial para a América Latina projeta que entre 26% e 38% dos empregos da região, cerca de 88 milhões de vagas, podem ser afetados. Do outro lado, projetos históricos de criação de empregos sugerem que a IA criará 97 milhões de novos papéis enquanto transforma ou elimina 85 milhões, resultado em ganho líquido de 12 milhões de posições — embora com redistribuição radical de funções e competências exigidas.</w:t>
      </w:r>
    </w:p>
    <w:p>
      <w:pPr>
        <w:spacing w:before="80" w:after="80"/>
        <w:jc w:val="both"/>
      </w:pPr>
      <w:r>
        <w:rPr>
          <w:rFonts w:ascii="Arial" w:cs="Arial" w:eastAsia="Arial" w:hAnsi="Arial"/>
          <w:sz w:val="22"/>
          <w:szCs w:val="22"/>
        </w:rPr>
        <w:t xml:space="preserve">A realidade corporativa é mais matizada do que os extremos do debate sugerem. A McKinsey, em pesquisa com CEOs, encontrou que apenas metade das organizações está reduzindo headcount; a outra metade usa IA como "trabalho digital complementar" — aumentando a capacidade de equipes sem reduzir pessoas. Empresas como Amazon reduziram cerca de 10% do pessoal em suas instalações mais automatizadas entre 2022 e 2025; a TCS eliminou 12.261 postos em julho de 2025, a maior redução de sua história. Ao mesmo tempo, papéis como Prompt Engineer cresceram 135,8%, AI Content Creator 134,5%, e Data Scientist deve crescer 34% até 2034.</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40"/>
              <w:left w:type="dxa" w:w="220"/>
              <w:bottom w:type="dxa" w:w="140"/>
              <w:right w:type="dxa" w:w="220"/>
            </w:tcMar>
          </w:tcPr>
          <w:p>
            <w:pPr>
              <w:spacing w:before="0" w:after="60"/>
            </w:pPr>
            <w:r>
              <w:rPr>
                <w:rFonts w:ascii="Arial" w:cs="Arial" w:eastAsia="Arial" w:hAnsi="Arial"/>
                <w:b/>
                <w:bCs/>
                <w:color w:val="F57F17"/>
                <w:sz w:val="22"/>
                <w:szCs w:val="22"/>
              </w:rPr>
              <w:t xml:space="preserve">O Paradoxo da Produtividade Agêntica</w:t>
            </w:r>
          </w:p>
          <w:p>
            <w:pPr>
              <w:spacing w:before="0" w:after="0"/>
              <w:jc w:val="both"/>
            </w:pPr>
            <w:r>
              <w:rPr>
                <w:rFonts w:ascii="Arial" w:cs="Arial" w:eastAsia="Arial" w:hAnsi="Arial"/>
                <w:sz w:val="22"/>
                <w:szCs w:val="22"/>
              </w:rPr>
              <w:t xml:space="preserve">Organizações com Centros de Excelência em IA agêntica são 20% mais competitivas em inovação, velocidade e excelência de serviço (IDC, 2025). No entanto, mais de 40% dos projetos agênticos serão cancelados até 2027 por custos crescentes, ROI nebuloso ou sistemas legados incompatíveis (Gartner). O diferencial não está na tecnologia: está na qualidade dos dados, na clareza do processo e na governança que envolve o sistema.</w:t>
            </w:r>
          </w:p>
        </w:tc>
      </w:tr>
    </w:tbl>
    <w:p>
      <w:pPr>
        <w:spacing w:before="160" w:after="0"/>
      </w:pPr>
    </w:p>
    <w:p>
      <w:pPr>
        <w:pStyle w:val="Heading2"/>
        <w:spacing w:before="280" w:after="80"/>
      </w:pPr>
      <w:r>
        <w:rPr>
          <w:rFonts w:ascii="Arial" w:cs="Arial" w:eastAsia="Arial" w:hAnsi="Arial"/>
          <w:b/>
          <w:bCs/>
          <w:color w:val="1565C0"/>
          <w:sz w:val="28"/>
          <w:szCs w:val="28"/>
        </w:rPr>
        <w:t xml:space="preserve">2.3. A IA Agêntica como Nova Camada de Mediação do Consumo</w:t>
      </w:r>
    </w:p>
    <w:p>
      <w:pPr>
        <w:spacing w:before="80" w:after="80"/>
        <w:jc w:val="both"/>
      </w:pPr>
      <w:r>
        <w:rPr>
          <w:rFonts w:ascii="Arial" w:cs="Arial" w:eastAsia="Arial" w:hAnsi="Arial"/>
          <w:sz w:val="22"/>
          <w:szCs w:val="22"/>
        </w:rPr>
        <w:t xml:space="preserve">Para o comportamento de consumo, a IA agêntica representa uma ruptura com toda a lógica histórica de marketing e de jornada de compra. Historicamente, a jornada era: estímulo → busca → comparação → decisão → compra. Com agentes autônomos, parte dessa cadeia passa a ser executada pela própria IA, em nome do usuário. O agente pesquisa opções, compara preços, lê reviews, avalia critérios pré-definidos pelo usuário e, em alguns casos, conclui a compra — sem interação humana ativa.</w:t>
      </w:r>
    </w:p>
    <w:p>
      <w:pPr>
        <w:spacing w:before="80" w:after="80"/>
        <w:jc w:val="both"/>
      </w:pPr>
      <w:r>
        <w:rPr>
          <w:rFonts w:ascii="Arial" w:cs="Arial" w:eastAsia="Arial" w:hAnsi="Arial"/>
          <w:sz w:val="22"/>
          <w:szCs w:val="22"/>
        </w:rPr>
        <w:t xml:space="preserve">Isso cria o fenômeno dos "compradores não-humanos" mediando decisões de compra. Para marcas e varejistas, isso implica uma nova camada de relevância: não basta mais ser atraente para o consumidor humano — é preciso ser selecionável pelos critérios que esse consumidor configurou em seu agente de IA. Dados estruturados, metadados de produto, avaliações verificáveis e políticas claras de devolução passam a ser fatores de conversão tão importantes quanto design e branding. A Salesforce reporta que 87% dos consumidores valorizam marcas que os reconhecem e lembram seu histórico — e os agentes de IA são, por natureza, sistemas de memória personalizada de longo prazo.</w:t>
      </w:r>
    </w:p>
    <w:p>
      <w:pPr>
        <w:spacing w:before="160" w:after="0"/>
      </w:pPr>
    </w:p>
    <w:p>
      <w:r>
        <w:br w:type="page"/>
      </w:r>
    </w:p>
    <w:p>
      <w:pPr>
        <w:pStyle w:val="Heading1"/>
        <w:spacing w:before="360" w:after="120"/>
      </w:pPr>
      <w:r>
        <w:rPr>
          <w:rFonts w:ascii="Arial" w:cs="Arial" w:eastAsia="Arial" w:hAnsi="Arial"/>
          <w:b/>
          <w:bCs/>
          <w:color w:val="0A3161"/>
          <w:sz w:val="38"/>
          <w:szCs w:val="38"/>
        </w:rPr>
        <w:t xml:space="preserve">Parte III — A Crise de Saúde Digital: Dependência, Atenção e Bem-Estar</w:t>
      </w:r>
    </w:p>
    <w:p>
      <w:pPr>
        <w:pStyle w:val="Heading2"/>
        <w:spacing w:before="280" w:after="80"/>
      </w:pPr>
      <w:r>
        <w:rPr>
          <w:rFonts w:ascii="Arial" w:cs="Arial" w:eastAsia="Arial" w:hAnsi="Arial"/>
          <w:b/>
          <w:bCs/>
          <w:color w:val="1565C0"/>
          <w:sz w:val="28"/>
          <w:szCs w:val="28"/>
        </w:rPr>
        <w:t xml:space="preserve">3.1. Os Números da Epidemia Silenciosa</w:t>
      </w:r>
    </w:p>
    <w:p>
      <w:pPr>
        <w:spacing w:before="80" w:after="80"/>
        <w:jc w:val="both"/>
      </w:pPr>
      <w:r>
        <w:rPr>
          <w:rFonts w:ascii="Arial" w:cs="Arial" w:eastAsia="Arial" w:hAnsi="Arial"/>
          <w:sz w:val="22"/>
          <w:szCs w:val="22"/>
        </w:rPr>
        <w:t xml:space="preserve">No mesmo período em que a adoção de IA cresce aceleradamente, uma crise de saúde comportamental digital se aprofunda em escala global — e os dados científicos do período são os mais graves já registrados sobre o tema. Pesquisa publicada no JAMA em junho de 2025, conduzida por pesquisadores de Weill Cornell Medicine, Columbia University e UC Berkeley com acompanhamento longitudinal de jovens, encontrou que adolescentes com trajetórias de uso adictivo de redes sociais e celulares apresentam risco 2 a 3 vezes maior de ideação e comportamento suicida em comparação com grupos de baixo uso compulsivo. O dado mais revelador: por volta dos 14 anos, quase 1 em cada 3 jovens já apresentava trajetória de uso adictivo de redes sociais.</w:t>
      </w:r>
    </w:p>
    <w:p>
      <w:pPr>
        <w:spacing w:before="80" w:after="80"/>
        <w:jc w:val="both"/>
      </w:pPr>
      <w:r>
        <w:rPr>
          <w:rFonts w:ascii="Arial" w:cs="Arial" w:eastAsia="Arial" w:hAnsi="Arial"/>
          <w:sz w:val="22"/>
          <w:szCs w:val="22"/>
        </w:rPr>
        <w:t xml:space="preserve">Além da saúde mental, uma meta-análise publicada no Journal of Behavioral Addiction em setembro de 2025, consolidando dados de múltiplos países, mostrou que jovens com dependência digital apresentam 76% mais chances de relatar saúde geral ruim, 46% mais chances de sofrer de insônia, 76% mais chances de ter problemas de sono, e probabilidades elevadas de obesidade (+25%), tabagismo (+55%) e uso problemático de álcool (+47%). A dependência digital não é um problema comportamental isolado: ela é um fator de risco sistêmico para saúde física e mental.</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A3161" w:val="clear"/>
            <w:tcMar>
              <w:top w:type="dxa" w:w="90"/>
              <w:left w:type="dxa" w:w="130"/>
              <w:bottom w:type="dxa" w:w="90"/>
              <w:right w:type="dxa" w:w="80"/>
            </w:tcMar>
          </w:tcPr>
          <w:p>
            <w:r>
              <w:rPr>
                <w:rFonts w:ascii="Arial" w:cs="Arial" w:eastAsia="Arial" w:hAnsi="Arial"/>
                <w:b/>
                <w:bCs/>
                <w:color w:val="FFFFFF"/>
                <w:sz w:val="20"/>
                <w:szCs w:val="20"/>
              </w:rPr>
              <w:t xml:space="preserve">Indicador — Saúde Digital</w:t>
            </w:r>
          </w:p>
        </w:tc>
        <w:tc>
          <w:tcPr>
            <w:tcW w:type="dxa" w:w="4680"/>
            <w:tcBorders>
              <w:top w:val="single" w:color="CCCCCC" w:sz="1"/>
              <w:left w:val="single" w:color="CCCCCC" w:sz="1"/>
              <w:bottom w:val="single" w:color="CCCCCC" w:sz="1"/>
              <w:right w:val="single" w:color="CCCCCC" w:sz="1"/>
            </w:tcBorders>
            <w:shd w:fill="0A3161" w:val="clear"/>
            <w:tcMar>
              <w:top w:type="dxa" w:w="90"/>
              <w:left w:type="dxa" w:w="130"/>
              <w:bottom w:type="dxa" w:w="90"/>
              <w:right w:type="dxa" w:w="80"/>
            </w:tcMar>
          </w:tcPr>
          <w:p>
            <w:r>
              <w:rPr>
                <w:rFonts w:ascii="Arial" w:cs="Arial" w:eastAsia="Arial" w:hAnsi="Arial"/>
                <w:b/>
                <w:bCs/>
                <w:color w:val="FFFFFF"/>
                <w:sz w:val="20"/>
                <w:szCs w:val="20"/>
              </w:rPr>
              <w:t xml:space="preserve">Dado Científico</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Adolescentes com uso adictivo de redes sociais (aos 14 anos)</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bCs/>
                <w:color w:val="B71C1C"/>
                <w:sz w:val="20"/>
                <w:szCs w:val="20"/>
              </w:rPr>
              <w:t xml:space="preserve">Quase 1 em cada 3 — JAMA/Weill Cornell 2025</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Risco de ideação suicida (uso adictivo vs baixo uso)</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bCs/>
                <w:color w:val="B71C1C"/>
                <w:sz w:val="20"/>
                <w:szCs w:val="20"/>
              </w:rPr>
              <w:t xml:space="preserve">2 a 3 vezes maior — JAMA 2025</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Usuários com uso adictivo de videogames (aos 14 anos)</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D1B2A"/>
                <w:sz w:val="20"/>
                <w:szCs w:val="20"/>
              </w:rPr>
              <w:t xml:space="preserve">&gt;40% — mesma coorte</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Brasileiros: licenças médicas por ansiedade/depressão (2023-25)</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bCs/>
                <w:color w:val="B71C1C"/>
                <w:sz w:val="20"/>
                <w:szCs w:val="20"/>
              </w:rPr>
              <w:t xml:space="preserve">+68% — dado estrutural dos relatórios anteriores</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Jovens que planejam reduzir uso de redes sociais (2026)</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D1B2A"/>
                <w:sz w:val="20"/>
                <w:szCs w:val="20"/>
              </w:rPr>
              <w:t xml:space="preserve">27% globalmente — Instagram lidera intenção de abandono</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Adolescentes com uso excessivo autorrelatado</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D1B2A"/>
                <w:sz w:val="20"/>
                <w:szCs w:val="20"/>
              </w:rPr>
              <w:t xml:space="preserve">36% — pressão sobre saúde mental (ansiedade, estresse, depressão)</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Adultos com sensação de vício em redes sociais (EUA)</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D1B2A"/>
                <w:sz w:val="20"/>
                <w:szCs w:val="20"/>
              </w:rPr>
              <w:t xml:space="preserve">30% — Demand Sage 2025</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Pessoas com vício em redes sociais no mundo</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D1B2A"/>
                <w:sz w:val="20"/>
                <w:szCs w:val="20"/>
              </w:rPr>
              <w:t xml:space="preserve">~210 milhões estimados</w:t>
            </w:r>
          </w:p>
        </w:tc>
      </w:tr>
      <w:tr>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sz w:val="20"/>
                <w:szCs w:val="20"/>
              </w:rPr>
              <w:t xml:space="preserve">Uso adictivo de redes sociais (Geração Z adulta)</w:t>
            </w:r>
          </w:p>
        </w:tc>
        <w:tc>
          <w:tcPr>
            <w:tcW w:type="dxa" w:w="4680"/>
            <w:tcBorders>
              <w:top w:val="single" w:color="CCCCCC" w:sz="1"/>
              <w:left w:val="single" w:color="CCCCCC" w:sz="1"/>
              <w:bottom w:val="single" w:color="CCCCCC" w:sz="1"/>
              <w:right w:val="single" w:color="CCCCCC" w:sz="1"/>
            </w:tcBorders>
            <w:shd w:fill="F0F4FA" w:val="clear"/>
            <w:tcMar>
              <w:top w:type="dxa" w:w="75"/>
              <w:left w:type="dxa" w:w="130"/>
              <w:bottom w:type="dxa" w:w="75"/>
              <w:right w:type="dxa" w:w="80"/>
            </w:tcMar>
          </w:tcPr>
          <w:p>
            <w:r>
              <w:rPr>
                <w:rFonts w:ascii="Arial" w:cs="Arial" w:eastAsia="Arial" w:hAnsi="Arial"/>
                <w:b w:val="false"/>
                <w:bCs w:val="false"/>
                <w:color w:val="0D1B2A"/>
                <w:sz w:val="20"/>
                <w:szCs w:val="20"/>
              </w:rPr>
              <w:t xml:space="preserve">82% reconhecem dependência de plataformas como Instagram e TikTok</w:t>
            </w:r>
          </w:p>
        </w:tc>
      </w:tr>
      <w:tr>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sz w:val="20"/>
                <w:szCs w:val="20"/>
              </w:rPr>
              <w:t xml:space="preserve">Risco de TDAH em jovens com dependência digital</w:t>
            </w:r>
          </w:p>
        </w:tc>
        <w:tc>
          <w:tcPr>
            <w:tcW w:type="dxa" w:w="468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80"/>
            </w:tcMar>
          </w:tcPr>
          <w:p>
            <w:r>
              <w:rPr>
                <w:rFonts w:ascii="Arial" w:cs="Arial" w:eastAsia="Arial" w:hAnsi="Arial"/>
                <w:b w:val="false"/>
                <w:bCs w:val="false"/>
                <w:color w:val="0D1B2A"/>
                <w:sz w:val="20"/>
                <w:szCs w:val="20"/>
              </w:rPr>
              <w:t xml:space="preserve">Odds Ratio de 3,47 — o maior entre todas comorbidades</w:t>
            </w:r>
          </w:p>
        </w:tc>
      </w:tr>
    </w:tbl>
    <w:p>
      <w:pPr>
        <w:spacing w:before="120" w:after="0"/>
      </w:pPr>
    </w:p>
    <w:p>
      <w:pPr>
        <w:pStyle w:val="Heading2"/>
        <w:spacing w:before="280" w:after="80"/>
      </w:pPr>
      <w:r>
        <w:rPr>
          <w:rFonts w:ascii="Arial" w:cs="Arial" w:eastAsia="Arial" w:hAnsi="Arial"/>
          <w:b/>
          <w:bCs/>
          <w:color w:val="1565C0"/>
          <w:sz w:val="28"/>
          <w:szCs w:val="28"/>
        </w:rPr>
        <w:t xml:space="preserve">3.2. O Design Como Causa — A Arquitetura da Dependência</w:t>
      </w:r>
    </w:p>
    <w:p>
      <w:pPr>
        <w:spacing w:before="80" w:after="80"/>
        <w:jc w:val="both"/>
      </w:pPr>
      <w:r>
        <w:rPr>
          <w:rFonts w:ascii="Arial" w:cs="Arial" w:eastAsia="Arial" w:hAnsi="Arial"/>
          <w:sz w:val="22"/>
          <w:szCs w:val="22"/>
        </w:rPr>
        <w:t xml:space="preserve">A pesquisa científica do período é inequívoca sobre um ponto que o debate público ainda reluta em aceitar: a dependência digital não é falha de caráter ou falta de autocontrole dos usuários — é o resultado previsível e mensurado do design intencional das plataformas. Features como scroll infinito, sistemas de recompensa variável (o like que pode ou não aparecer), notificações otimizadas por horário de vulnerabilidade e algoritmos de amplificação emocional foram projetados para maximizar tempo de tela — e funcionam exatamente como planejado.</w:t>
      </w:r>
    </w:p>
    <w:p>
      <w:pPr>
        <w:spacing w:before="80" w:after="80"/>
        <w:jc w:val="both"/>
      </w:pPr>
      <w:r>
        <w:rPr>
          <w:rFonts w:ascii="Arial" w:cs="Arial" w:eastAsia="Arial" w:hAnsi="Arial"/>
          <w:sz w:val="22"/>
          <w:szCs w:val="22"/>
        </w:rPr>
        <w:t xml:space="preserve">A revisão publicada no American Journal of Health Research em 2025 descreve o mecanismo com precisão clínica: vulnerabilidades neurodevelopmentais típicas da adolescência — alta sensibilidade a recompensas e controle cognitivo ainda em maturação — combinadas com features de design persuasivo criam o substrato perfeito para o desenvolvimento de padrões adictivos. O resultado clínico espelha transtornos de uso de substâncias: preocupação persistente com o dispositivo, perda de controle, escalada de uso, irritabilidade ao ser interrompido e continuidade do uso apesar dos danos observados. A questão não é "se" o design digital causa dano — é quão difundido e grave esse dano é.</w:t>
      </w:r>
    </w:p>
    <w:p>
      <w:pPr>
        <w:spacing w:before="160" w:after="0"/>
      </w:pPr>
    </w:p>
    <w:p>
      <w:pPr>
        <w:pBdr>
          <w:left w:val="single" w:color="0288D1" w:sz="8" w:space="10"/>
        </w:pBdr>
        <w:spacing w:before="160" w:after="160"/>
        <w:ind w:left="720" w:right="720"/>
      </w:pPr>
      <w:r>
        <w:rPr>
          <w:rFonts w:ascii="Arial" w:cs="Arial" w:eastAsia="Arial" w:hAnsi="Arial"/>
          <w:i/>
          <w:iCs/>
          <w:color w:val="333333"/>
          <w:sz w:val="22"/>
          <w:szCs w:val="22"/>
        </w:rPr>
        <w:t xml:space="preserve">"A dependência não é medida principalmente pelo tempo total de tela — é medida pela presença de uso compulsivo, incapacidade de parar e uso para escapar de problemas. Essas variáveis preveem resultados de saúde de forma muito mais precisa do que horas brutas." — Pesquisa JAMA / Weill Cornell Medicine / Columbia University, junho de 2025</w:t>
      </w:r>
    </w:p>
    <w:p>
      <w:pPr>
        <w:spacing w:before="160" w:after="0"/>
      </w:pPr>
    </w:p>
    <w:p>
      <w:pPr>
        <w:pStyle w:val="Heading2"/>
        <w:spacing w:before="280" w:after="80"/>
      </w:pPr>
      <w:r>
        <w:rPr>
          <w:rFonts w:ascii="Arial" w:cs="Arial" w:eastAsia="Arial" w:hAnsi="Arial"/>
          <w:b/>
          <w:bCs/>
          <w:color w:val="1565C0"/>
          <w:sz w:val="28"/>
          <w:szCs w:val="28"/>
        </w:rPr>
        <w:t xml:space="preserve">3.3. A Resposta Crescente — Regulação, Retreatismo Digital e o Mercado do Descanso</w:t>
      </w:r>
    </w:p>
    <w:p>
      <w:pPr>
        <w:spacing w:before="80" w:after="80"/>
        <w:jc w:val="both"/>
      </w:pPr>
      <w:r>
        <w:rPr>
          <w:rFonts w:ascii="Arial" w:cs="Arial" w:eastAsia="Arial" w:hAnsi="Arial"/>
          <w:sz w:val="22"/>
          <w:szCs w:val="22"/>
        </w:rPr>
        <w:t xml:space="preserve">A reação a essa crise está se manifestando em múltiplas camadas simultâneas. No campo regulatório, governos de diversos países aprovaram ou estão aprovando legislações que limitam o acesso de menores às redes sociais — com destaque para a Austrália, que implementou restrições para menores de 16 anos, e debates em andamento na UE, EUA e Brasil. No campo individual, 27% dos usuários globais afirmam planejar reduzir seu uso de redes sociais em 2026, com Instagram liderando as intenções de abandono.</w:t>
      </w:r>
    </w:p>
    <w:p>
      <w:pPr>
        <w:spacing w:before="80" w:after="80"/>
        <w:jc w:val="both"/>
      </w:pPr>
      <w:r>
        <w:rPr>
          <w:rFonts w:ascii="Arial" w:cs="Arial" w:eastAsia="Arial" w:hAnsi="Arial"/>
          <w:sz w:val="22"/>
          <w:szCs w:val="22"/>
        </w:rPr>
        <w:t xml:space="preserve">No campo de mercado, emerge o que analistas chamam de "economia do retreatismo digital": produtos, serviços e experiências que oferecem desconexão intencional como proposta de valor. Celulares sem internet voltam a crescer como nicho premium. Retiros de meditação e detox digital multiplicam-se. Aplicativos de bloqueio de acesso a outras aplicações tornam-se um segmento em expansão. A ironia não é pequena: a solução para o problema criado pela tecnologia é frequentemente... outra tecnologia. Mas o movimento sinaliza algo mais profundo: o reconhecimento coletivo de que a relação com o ambiente digital precisa ser ativa e intencional, não apenas passiva e reativa.</w:t>
      </w:r>
    </w:p>
    <w:p>
      <w:pPr>
        <w:spacing w:before="160" w:after="0"/>
      </w:pPr>
    </w:p>
    <w:p>
      <w:r>
        <w:br w:type="page"/>
      </w:r>
    </w:p>
    <w:p>
      <w:pPr>
        <w:pStyle w:val="Heading1"/>
        <w:spacing w:before="360" w:after="120"/>
      </w:pPr>
      <w:r>
        <w:rPr>
          <w:rFonts w:ascii="Arial" w:cs="Arial" w:eastAsia="Arial" w:hAnsi="Arial"/>
          <w:b/>
          <w:bCs/>
          <w:color w:val="0A3161"/>
          <w:sz w:val="38"/>
          <w:szCs w:val="38"/>
        </w:rPr>
        <w:t xml:space="preserve">Parte IV — O Fim da Busca Como Conhecemos: IA, Algoritmo e Descoberta</w:t>
      </w:r>
    </w:p>
    <w:p>
      <w:pPr>
        <w:pStyle w:val="Heading2"/>
        <w:spacing w:before="280" w:after="80"/>
      </w:pPr>
      <w:r>
        <w:rPr>
          <w:rFonts w:ascii="Arial" w:cs="Arial" w:eastAsia="Arial" w:hAnsi="Arial"/>
          <w:b/>
          <w:bCs/>
          <w:color w:val="1565C0"/>
          <w:sz w:val="28"/>
          <w:szCs w:val="28"/>
        </w:rPr>
        <w:t xml:space="preserve">4.1. O Novo Ecossistema de Busca e Descoberta</w:t>
      </w:r>
    </w:p>
    <w:p>
      <w:pPr>
        <w:spacing w:before="80" w:after="80"/>
        <w:jc w:val="both"/>
      </w:pPr>
      <w:r>
        <w:rPr>
          <w:rFonts w:ascii="Arial" w:cs="Arial" w:eastAsia="Arial" w:hAnsi="Arial"/>
          <w:sz w:val="22"/>
          <w:szCs w:val="22"/>
        </w:rPr>
        <w:t xml:space="preserve">A jornada de descoberta de informações, produtos e serviços passou por uma transformação estrutural no período. O Google, que por duas décadas dominou como portal único de entrada para a web, enfrenta agora uma fragmentação sem precedente: 40% das buscas por produtos já acontecem dentro de plataformas de redes sociais; 37% dos adultos britânicos com menos de 40 anos usam ferramentas de IA para metade ou mais de suas buscas na internet; e as respostas geradas por IA estão substituindo a navegação em sites individuais para crescentes parcelas de usuários.</w:t>
      </w:r>
    </w:p>
    <w:p>
      <w:pPr>
        <w:spacing w:before="80" w:after="80"/>
        <w:jc w:val="both"/>
      </w:pPr>
      <w:r>
        <w:rPr>
          <w:rFonts w:ascii="Arial" w:cs="Arial" w:eastAsia="Arial" w:hAnsi="Arial"/>
          <w:sz w:val="22"/>
          <w:szCs w:val="22"/>
        </w:rPr>
        <w:t xml:space="preserve">O MIT Technology Review descreveu esse fenômeno como "o fim da busca na internet como a conhecemos" — com a transição para busca conversacional, onde usuários fazem perguntas complexas e recebem respostas síntese em linguagem natural em vez de listas de links. Para criadores de conteúdo, editores e marcas, isso representa uma perda estrutural de tráfego: se o usuário obtém a resposta diretamente da IA, ele não precisa visitar o site original. A questão estratégica deixa de ser "como aparecer no topo do Google" e passa a ser "como ser a fonte que os modelos de IA citam e recomendam".</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0A3161" w:val="clear"/>
            <w:tcMar>
              <w:top w:type="dxa" w:w="90"/>
              <w:left w:type="dxa" w:w="120"/>
              <w:bottom w:type="dxa" w:w="90"/>
              <w:right w:type="dxa" w:w="80"/>
            </w:tcMar>
          </w:tcPr>
          <w:p>
            <w:r>
              <w:rPr>
                <w:rFonts w:ascii="Arial" w:cs="Arial" w:eastAsia="Arial" w:hAnsi="Arial"/>
                <w:b/>
                <w:bCs/>
                <w:color w:val="FFFFFF"/>
                <w:sz w:val="20"/>
                <w:szCs w:val="20"/>
              </w:rPr>
              <w:t xml:space="preserve">Canal de Descoberta</w:t>
            </w:r>
          </w:p>
        </w:tc>
        <w:tc>
          <w:tcPr>
            <w:tcW w:type="dxa" w:w="3500"/>
            <w:tcBorders>
              <w:top w:val="single" w:color="CCCCCC" w:sz="1"/>
              <w:left w:val="single" w:color="CCCCCC" w:sz="1"/>
              <w:bottom w:val="single" w:color="CCCCCC" w:sz="1"/>
              <w:right w:val="single" w:color="CCCCCC" w:sz="1"/>
            </w:tcBorders>
            <w:shd w:fill="0A3161" w:val="clear"/>
            <w:tcMar>
              <w:top w:type="dxa" w:w="90"/>
              <w:left w:type="dxa" w:w="120"/>
              <w:bottom w:type="dxa" w:w="90"/>
              <w:right w:type="dxa" w:w="80"/>
            </w:tcMar>
          </w:tcPr>
          <w:p>
            <w:r>
              <w:rPr>
                <w:rFonts w:ascii="Arial" w:cs="Arial" w:eastAsia="Arial" w:hAnsi="Arial"/>
                <w:b/>
                <w:bCs/>
                <w:color w:val="FFFFFF"/>
                <w:sz w:val="20"/>
                <w:szCs w:val="20"/>
              </w:rPr>
              <w:t xml:space="preserve">Comportamento Emergente</w:t>
            </w:r>
          </w:p>
        </w:tc>
        <w:tc>
          <w:tcPr>
            <w:tcW w:type="dxa" w:w="3260"/>
            <w:tcBorders>
              <w:top w:val="single" w:color="CCCCCC" w:sz="1"/>
              <w:left w:val="single" w:color="CCCCCC" w:sz="1"/>
              <w:bottom w:val="single" w:color="CCCCCC" w:sz="1"/>
              <w:right w:val="single" w:color="CCCCCC" w:sz="1"/>
            </w:tcBorders>
            <w:shd w:fill="0A3161" w:val="clear"/>
            <w:tcMar>
              <w:top w:type="dxa" w:w="90"/>
              <w:left w:type="dxa" w:w="120"/>
              <w:bottom w:type="dxa" w:w="90"/>
              <w:right w:type="dxa" w:w="80"/>
            </w:tcMar>
          </w:tcPr>
          <w:p>
            <w:r>
              <w:rPr>
                <w:rFonts w:ascii="Arial" w:cs="Arial" w:eastAsia="Arial" w:hAnsi="Arial"/>
                <w:b/>
                <w:bCs/>
                <w:color w:val="FFFFFF"/>
                <w:sz w:val="20"/>
                <w:szCs w:val="20"/>
              </w:rPr>
              <w:t xml:space="preserve">Implicação para Marcas</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bCs/>
                <w:color w:val="0A3161"/>
                <w:sz w:val="20"/>
                <w:szCs w:val="20"/>
              </w:rPr>
              <w:t xml:space="preserve">Busca por IA (ChatGPT, Gemini, etc.)</w:t>
            </w:r>
          </w:p>
        </w:tc>
        <w:tc>
          <w:tcPr>
            <w:tcW w:type="dxa" w:w="35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D1B2A"/>
                <w:sz w:val="20"/>
                <w:szCs w:val="20"/>
              </w:rPr>
              <w:t xml:space="preserve">37% dos jovens britânicos usam em ≥50% das buscas; crescimento acelerado globalmente</w:t>
            </w:r>
          </w:p>
        </w:tc>
        <w:tc>
          <w:tcPr>
            <w:tcW w:type="dxa" w:w="326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D1B2A"/>
                <w:sz w:val="20"/>
                <w:szCs w:val="20"/>
              </w:rPr>
              <w:t xml:space="preserve">Otimizar para citação por LLMs, não apenas para SEO tradicional</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bCs/>
                <w:color w:val="0A3161"/>
                <w:sz w:val="20"/>
                <w:szCs w:val="20"/>
              </w:rPr>
              <w:t xml:space="preserve">Redes sociais (TikTok, Reels, YouTube)</w:t>
            </w:r>
          </w:p>
        </w:tc>
        <w:tc>
          <w:tcPr>
            <w:tcW w:type="dxa" w:w="3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D1B2A"/>
                <w:sz w:val="20"/>
                <w:szCs w:val="20"/>
              </w:rPr>
              <w:t xml:space="preserve">40% das buscas de produtos; YouTube = 11,6% da TV americana</w:t>
            </w:r>
          </w:p>
        </w:tc>
        <w:tc>
          <w:tcPr>
            <w:tcW w:type="dxa" w:w="32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D1B2A"/>
                <w:sz w:val="20"/>
                <w:szCs w:val="20"/>
              </w:rPr>
              <w:t xml:space="preserve">Conteúdo nativo, formato curto e autenticidade superam anúncio</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bCs/>
                <w:color w:val="0A3161"/>
                <w:sz w:val="20"/>
                <w:szCs w:val="20"/>
              </w:rPr>
              <w:t xml:space="preserve">Influenciadores e microcriadores</w:t>
            </w:r>
          </w:p>
        </w:tc>
        <w:tc>
          <w:tcPr>
            <w:tcW w:type="dxa" w:w="35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D1B2A"/>
                <w:sz w:val="20"/>
                <w:szCs w:val="20"/>
              </w:rPr>
              <w:t xml:space="preserve">42–65% das decisões de compra influenciadas; 87% satisfação</w:t>
            </w:r>
          </w:p>
        </w:tc>
        <w:tc>
          <w:tcPr>
            <w:tcW w:type="dxa" w:w="326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D1B2A"/>
                <w:sz w:val="20"/>
                <w:szCs w:val="20"/>
              </w:rPr>
              <w:t xml:space="preserve">UGC e micro-influência superam campanhas massivas</w:t>
            </w:r>
          </w:p>
        </w:tc>
      </w:tr>
      <w:tr>
        <w:tc>
          <w:tcPr>
            <w:tcW w:type="dxa" w:w="2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bCs/>
                <w:color w:val="0A3161"/>
                <w:sz w:val="20"/>
                <w:szCs w:val="20"/>
              </w:rPr>
              <w:t xml:space="preserve">Live commerce (transmissões ao vivo)</w:t>
            </w:r>
          </w:p>
        </w:tc>
        <w:tc>
          <w:tcPr>
            <w:tcW w:type="dxa" w:w="35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D1B2A"/>
                <w:sz w:val="20"/>
                <w:szCs w:val="20"/>
              </w:rPr>
              <w:t xml:space="preserve">66% de interesse global; 37% descobriram novas marcas via live</w:t>
            </w:r>
          </w:p>
        </w:tc>
        <w:tc>
          <w:tcPr>
            <w:tcW w:type="dxa" w:w="32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D1B2A"/>
                <w:sz w:val="20"/>
                <w:szCs w:val="20"/>
              </w:rPr>
              <w:t xml:space="preserve">Canal emergente no Ocidente; dominante na Ásia</w:t>
            </w:r>
          </w:p>
        </w:tc>
      </w:tr>
      <w:tr>
        <w:tc>
          <w:tcPr>
            <w:tcW w:type="dxa" w:w="2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bCs/>
                <w:color w:val="0A3161"/>
                <w:sz w:val="20"/>
                <w:szCs w:val="20"/>
              </w:rPr>
              <w:t xml:space="preserve">Agentes de IA (agentic shopping)</w:t>
            </w:r>
          </w:p>
        </w:tc>
        <w:tc>
          <w:tcPr>
            <w:tcW w:type="dxa" w:w="35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D1B2A"/>
                <w:sz w:val="20"/>
                <w:szCs w:val="20"/>
              </w:rPr>
              <w:t xml:space="preserve">US$ 229 bi em vendas influenciadas por IA (EUA, festas 2025)</w:t>
            </w:r>
          </w:p>
        </w:tc>
        <w:tc>
          <w:tcPr>
            <w:tcW w:type="dxa" w:w="326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D1B2A"/>
                <w:sz w:val="20"/>
                <w:szCs w:val="20"/>
              </w:rPr>
              <w:t xml:space="preserve">Dados estruturados, specs claros e reviews verificáveis são decisivos</w:t>
            </w:r>
          </w:p>
        </w:tc>
      </w:tr>
    </w:tbl>
    <w:p>
      <w:pPr>
        <w:spacing w:before="120" w:after="0"/>
      </w:pPr>
    </w:p>
    <w:p>
      <w:pPr>
        <w:pStyle w:val="Heading2"/>
        <w:spacing w:before="280" w:after="80"/>
      </w:pPr>
      <w:r>
        <w:rPr>
          <w:rFonts w:ascii="Arial" w:cs="Arial" w:eastAsia="Arial" w:hAnsi="Arial"/>
          <w:b/>
          <w:bCs/>
          <w:color w:val="1565C0"/>
          <w:sz w:val="28"/>
          <w:szCs w:val="28"/>
        </w:rPr>
        <w:t xml:space="preserve">4.2. A Economia da Atenção e o Paradoxo da Abundância</w:t>
      </w:r>
    </w:p>
    <w:p>
      <w:pPr>
        <w:spacing w:before="80" w:after="80"/>
        <w:jc w:val="both"/>
      </w:pPr>
      <w:r>
        <w:rPr>
          <w:rFonts w:ascii="Arial" w:cs="Arial" w:eastAsia="Arial" w:hAnsi="Arial"/>
          <w:sz w:val="22"/>
          <w:szCs w:val="22"/>
        </w:rPr>
        <w:t xml:space="preserve">Nunca houve tanta informação disponível — e nunca foi tão difícil processar, verificar e agir com base nela. O paradoxo da abundância informacional é que ela não aumenta o conhecimento coletivo em proporção ao volume: ao contrário, ela fragmenta a atenção, reduz a profundidade de leitura e amplifica a circulação de conteúdo que aciona reações emocionais rápidas em detrimento de análise contextual. A pesquisa da Springer Nature sobre uso de redes sociais e saúde psicossocial encontrou que o tipo de conteúdo consumido — especialmente conteúdo negativo e focado em aparência — é um preditor de saúde mental tão forte quanto o tempo bruto de uso.</w:t>
      </w:r>
    </w:p>
    <w:p>
      <w:pPr>
        <w:spacing w:before="80" w:after="80"/>
        <w:jc w:val="both"/>
      </w:pPr>
      <w:r>
        <w:rPr>
          <w:rFonts w:ascii="Arial" w:cs="Arial" w:eastAsia="Arial" w:hAnsi="Arial"/>
          <w:sz w:val="22"/>
          <w:szCs w:val="22"/>
        </w:rPr>
        <w:t xml:space="preserve">Para marcas e criadores, a implicação é paradoxal: nunca foi mais fácil distribuir conteúdo, e nunca foi mais difícil construir atenção qualificada e duradoura. O recurso mais escasso da economia atual não é capital, tecnologia ou talento — é atenção humana de qualidade. E o movimento que valoriza curadoria humana, fontes verificadas, newsletters especializadas e comunidades nichadas reflete exatamente isso: o valor migra do volume para a confiança.</w:t>
      </w:r>
    </w:p>
    <w:p>
      <w:pPr>
        <w:spacing w:before="160" w:after="0"/>
      </w:pPr>
    </w:p>
    <w:p>
      <w:r>
        <w:br w:type="page"/>
      </w:r>
    </w:p>
    <w:p>
      <w:pPr>
        <w:pStyle w:val="Heading1"/>
        <w:spacing w:before="360" w:after="120"/>
      </w:pPr>
      <w:r>
        <w:rPr>
          <w:rFonts w:ascii="Arial" w:cs="Arial" w:eastAsia="Arial" w:hAnsi="Arial"/>
          <w:b/>
          <w:bCs/>
          <w:color w:val="0A3161"/>
          <w:sz w:val="38"/>
          <w:szCs w:val="38"/>
        </w:rPr>
        <w:t xml:space="preserve">Parte V — O Redesenho do Trabalho e das Competências Humanas</w:t>
      </w:r>
    </w:p>
    <w:p>
      <w:pPr>
        <w:pStyle w:val="Heading2"/>
        <w:spacing w:before="280" w:after="80"/>
      </w:pPr>
      <w:r>
        <w:rPr>
          <w:rFonts w:ascii="Arial" w:cs="Arial" w:eastAsia="Arial" w:hAnsi="Arial"/>
          <w:b/>
          <w:bCs/>
          <w:color w:val="1565C0"/>
          <w:sz w:val="28"/>
          <w:szCs w:val="28"/>
        </w:rPr>
        <w:t xml:space="preserve">5.1. Da Descrição de Cargo ao Portfólio de Habilidades</w:t>
      </w:r>
    </w:p>
    <w:p>
      <w:pPr>
        <w:spacing w:before="80" w:after="80"/>
        <w:jc w:val="both"/>
      </w:pPr>
      <w:r>
        <w:rPr>
          <w:rFonts w:ascii="Arial" w:cs="Arial" w:eastAsia="Arial" w:hAnsi="Arial"/>
          <w:sz w:val="22"/>
          <w:szCs w:val="22"/>
        </w:rPr>
        <w:t xml:space="preserve">A transformação mais profunda que a IA produz no mundo do trabalho não é a eliminação de postos — é a obsolescência da própria estrutura de cargo como unidade organizadora do trabalho. O IDC e a Mercer convergem numa análise: organizações estão migrando de modelos centrados em cargos para modelos centrados em habilidades, onde o que importa não é o título ou a função formal, mas o conjunto dinâmico de competências que um indivíduo pode aportar a diferentes projetos e necessidades. A IA agêntica acelera essa transição porque ela executa tarefas, não funções — e obriga as organizações a separar quais tarefas podem ser automatizadas de quais competências humanas são insubstituíveis.</w:t>
      </w:r>
    </w:p>
    <w:p>
      <w:pPr>
        <w:spacing w:before="80" w:after="80"/>
        <w:jc w:val="both"/>
      </w:pPr>
      <w:r>
        <w:rPr>
          <w:rFonts w:ascii="Arial" w:cs="Arial" w:eastAsia="Arial" w:hAnsi="Arial"/>
          <w:sz w:val="22"/>
          <w:szCs w:val="22"/>
        </w:rPr>
        <w:t xml:space="preserve">Nesse contexto, as habilidades que ganham valor estrutural — justamente por serem as mais difíceis de automatizar — são as que dependem de julgamento contextual, relacionamento, criatividade original e raciocínio ético: liderança de ambiguidade, comunicação empática, síntese criativa, pensamento crítico e colaboração intersubjetiva. Ironicamente, são exatamente as habilidades que a crise de saúde digital está comprometendo nas gerações mais jovens — por meio da fragmentação da atenção, da redução do vocabulário, da dependência de validação externa e da diminuição da tolerância à frustração.</w:t>
      </w:r>
    </w:p>
    <w:p>
      <w:pPr>
        <w:spacing w:before="160" w:after="0"/>
      </w:pPr>
    </w:p>
    <w:p>
      <w:pPr>
        <w:pStyle w:val="Heading2"/>
        <w:spacing w:before="280" w:after="80"/>
      </w:pPr>
      <w:r>
        <w:rPr>
          <w:rFonts w:ascii="Arial" w:cs="Arial" w:eastAsia="Arial" w:hAnsi="Arial"/>
          <w:b/>
          <w:bCs/>
          <w:color w:val="1565C0"/>
          <w:sz w:val="28"/>
          <w:szCs w:val="28"/>
        </w:rPr>
        <w:t xml:space="preserve">5.2. As Novas Profissões da Era da IA</w:t>
      </w:r>
    </w:p>
    <w:p>
      <w:pPr>
        <w:spacing w:before="80" w:after="80"/>
        <w:jc w:val="both"/>
      </w:pPr>
      <w:r>
        <w:rPr>
          <w:rFonts w:ascii="Arial" w:cs="Arial" w:eastAsia="Arial" w:hAnsi="Arial"/>
          <w:sz w:val="22"/>
          <w:szCs w:val="22"/>
        </w:rPr>
        <w:t xml:space="preserve">A transição tecnológica já está gerando novos papéis profissionais em velocidade acelerada. Os mais relevantes do período são:</w:t>
      </w:r>
    </w:p>
    <w:p>
      <w:pPr>
        <w:spacing w:before="60" w:after="0"/>
      </w:pPr>
    </w:p>
    <w:p>
      <w:pPr>
        <w:pStyle w:val="ListParagraph"/>
        <w:numPr>
          <w:ilvl w:val="0"/>
          <w:numId w:val="2"/>
        </w:numPr>
        <w:spacing w:before="40" w:after="40"/>
      </w:pPr>
      <w:r>
        <w:rPr>
          <w:rFonts w:ascii="Arial" w:cs="Arial" w:eastAsia="Arial" w:hAnsi="Arial"/>
          <w:sz w:val="22"/>
          <w:szCs w:val="22"/>
        </w:rPr>
        <w:t xml:space="preserve">Prompt Engineer (+135,8% de vagas em 2025): profissional especializado em estruturar instruções para sistemas de IA de forma a maximizar a qualidade e relevância dos resultados. Um tradutor entre intenção humana e linguagem de máquina.</w:t>
      </w:r>
    </w:p>
    <w:p>
      <w:pPr>
        <w:pStyle w:val="ListParagraph"/>
        <w:numPr>
          <w:ilvl w:val="0"/>
          <w:numId w:val="2"/>
        </w:numPr>
        <w:spacing w:before="40" w:after="40"/>
      </w:pPr>
      <w:r>
        <w:rPr>
          <w:rFonts w:ascii="Arial" w:cs="Arial" w:eastAsia="Arial" w:hAnsi="Arial"/>
          <w:sz w:val="22"/>
          <w:szCs w:val="22"/>
        </w:rPr>
        <w:t xml:space="preserve">AI Content Creator (+134,5%): criador que usa IA como co-criador, combinando capacidade generativa com curadoria, voz e julgamento editorial humanos.</w:t>
      </w:r>
    </w:p>
    <w:p>
      <w:pPr>
        <w:pStyle w:val="ListParagraph"/>
        <w:numPr>
          <w:ilvl w:val="0"/>
          <w:numId w:val="2"/>
        </w:numPr>
        <w:spacing w:before="40" w:after="40"/>
      </w:pPr>
      <w:r>
        <w:rPr>
          <w:rFonts w:ascii="Arial" w:cs="Arial" w:eastAsia="Arial" w:hAnsi="Arial"/>
          <w:sz w:val="22"/>
          <w:szCs w:val="22"/>
        </w:rPr>
        <w:t xml:space="preserve">AI Compliance Officer: responsável por garantir que o uso de IA na organização respeite regulações, evite vieses e mantenha auditabilidade das decisões automatizadas.</w:t>
      </w:r>
    </w:p>
    <w:p>
      <w:pPr>
        <w:pStyle w:val="ListParagraph"/>
        <w:numPr>
          <w:ilvl w:val="0"/>
          <w:numId w:val="2"/>
        </w:numPr>
        <w:spacing w:before="40" w:after="40"/>
      </w:pPr>
      <w:r>
        <w:rPr>
          <w:rFonts w:ascii="Arial" w:cs="Arial" w:eastAsia="Arial" w:hAnsi="Arial"/>
          <w:sz w:val="22"/>
          <w:szCs w:val="22"/>
        </w:rPr>
        <w:t xml:space="preserve">Agent Manager: gestor de sistemas multiagente, responsável por orquestrar fluxos de trabalho onde múltiplos agentes de IA colaboram em processos complexos.</w:t>
      </w:r>
    </w:p>
    <w:p>
      <w:pPr>
        <w:pStyle w:val="ListParagraph"/>
        <w:numPr>
          <w:ilvl w:val="0"/>
          <w:numId w:val="2"/>
        </w:numPr>
        <w:spacing w:before="40" w:after="40"/>
      </w:pPr>
      <w:r>
        <w:rPr>
          <w:rFonts w:ascii="Arial" w:cs="Arial" w:eastAsia="Arial" w:hAnsi="Arial"/>
          <w:sz w:val="22"/>
          <w:szCs w:val="22"/>
        </w:rPr>
        <w:t xml:space="preserve">AI Trainer / RLHF Specialist: profissional que refina modelos de IA por meio de feedback humano, garantindo alinhamento com valores, contexto cultural e precisão de domínio.</w:t>
      </w:r>
    </w:p>
    <w:p>
      <w:pPr>
        <w:pStyle w:val="ListParagraph"/>
        <w:numPr>
          <w:ilvl w:val="0"/>
          <w:numId w:val="2"/>
        </w:numPr>
        <w:spacing w:before="40" w:after="40"/>
      </w:pPr>
      <w:r>
        <w:rPr>
          <w:rFonts w:ascii="Arial" w:cs="Arial" w:eastAsia="Arial" w:hAnsi="Arial"/>
          <w:sz w:val="22"/>
          <w:szCs w:val="22"/>
        </w:rPr>
        <w:t xml:space="preserve">Data Scientist (crescimento projetado de 34% até 2034, com 23.400 vagas anuais nos EUA): a demanda por profissionais que transformam dados brutos em insight permanece estruturalmente alta.</w:t>
      </w:r>
    </w:p>
    <w:p>
      <w:pPr>
        <w:spacing w:before="160" w:after="0"/>
      </w:pPr>
    </w:p>
    <w:p>
      <w:pPr>
        <w:pStyle w:val="Heading2"/>
        <w:spacing w:before="280" w:after="80"/>
      </w:pPr>
      <w:r>
        <w:rPr>
          <w:rFonts w:ascii="Arial" w:cs="Arial" w:eastAsia="Arial" w:hAnsi="Arial"/>
          <w:b/>
          <w:bCs/>
          <w:color w:val="1565C0"/>
          <w:sz w:val="28"/>
          <w:szCs w:val="28"/>
        </w:rPr>
        <w:t xml:space="preserve">5.3. O Risco do 'Jobless Growth' e a Ansiedade de Obsolescência</w:t>
      </w:r>
    </w:p>
    <w:p>
      <w:pPr>
        <w:spacing w:before="80" w:after="80"/>
        <w:jc w:val="both"/>
      </w:pPr>
      <w:r>
        <w:rPr>
          <w:rFonts w:ascii="Arial" w:cs="Arial" w:eastAsia="Arial" w:hAnsi="Arial"/>
          <w:sz w:val="22"/>
          <w:szCs w:val="22"/>
        </w:rPr>
        <w:t xml:space="preserve">O crescimento sem emprego — em inglês, jobless growth — é o cenário em que a produtividade econômica aumenta via IA sem geração proporcional de postos de trabalho. A Microsoft encontrou que 46% dos jovens de 18 a 34 anos acreditam que a IA substituirá seu emprego em cinco anos — uma percepção que, independentemente de sua precisão, tem efeitos comportamentais reais: cautela nos gastos de longo prazo, menor propensão a contrair dívidas, foco em requalificação e aumento da ansiedade geral.</w:t>
      </w:r>
    </w:p>
    <w:p>
      <w:pPr>
        <w:spacing w:before="80" w:after="80"/>
        <w:jc w:val="both"/>
      </w:pPr>
      <w:r>
        <w:rPr>
          <w:rFonts w:ascii="Arial" w:cs="Arial" w:eastAsia="Arial" w:hAnsi="Arial"/>
          <w:sz w:val="22"/>
          <w:szCs w:val="22"/>
        </w:rPr>
        <w:t xml:space="preserve">Essa ansiedade de obsolescência é uma das forças mais subestimadas na análise do comportamento de consumo do período. Ela cria um efeito de "poupança por precaução" em segmentos jovens com renda razoável, mas elevada incerteza sobre o futuro do próprio emprego. Para marcas que vendem a esses segmentos, isso significa que a mensagem de aspiração de longo prazo compete com o medo de curto prazo — e que propostas de valor vinculadas a adaptabilidade, empregabilidade e autonomia ressoam mais do que promessas de status ou pertencimento.</w:t>
      </w:r>
    </w:p>
    <w:p>
      <w:pPr>
        <w:spacing w:before="160" w:after="0"/>
      </w:pPr>
    </w:p>
    <w:p>
      <w:r>
        <w:br w:type="page"/>
      </w:r>
    </w:p>
    <w:p>
      <w:pPr>
        <w:pStyle w:val="Heading1"/>
        <w:spacing w:before="360" w:after="120"/>
      </w:pPr>
      <w:r>
        <w:rPr>
          <w:rFonts w:ascii="Arial" w:cs="Arial" w:eastAsia="Arial" w:hAnsi="Arial"/>
          <w:b/>
          <w:bCs/>
          <w:color w:val="0A3161"/>
          <w:sz w:val="38"/>
          <w:szCs w:val="38"/>
        </w:rPr>
        <w:t xml:space="preserve">Parte VI — Tecnologia, Identidade e Relacionamentos</w:t>
      </w:r>
    </w:p>
    <w:p>
      <w:pPr>
        <w:pStyle w:val="Heading2"/>
        <w:spacing w:before="280" w:after="80"/>
      </w:pPr>
      <w:r>
        <w:rPr>
          <w:rFonts w:ascii="Arial" w:cs="Arial" w:eastAsia="Arial" w:hAnsi="Arial"/>
          <w:b/>
          <w:bCs/>
          <w:color w:val="1565C0"/>
          <w:sz w:val="28"/>
          <w:szCs w:val="28"/>
        </w:rPr>
        <w:t xml:space="preserve">6.1. A Identidade Algorítmica — Quem Você É Segundo o Feed</w:t>
      </w:r>
    </w:p>
    <w:p>
      <w:pPr>
        <w:spacing w:before="80" w:after="80"/>
        <w:jc w:val="both"/>
      </w:pPr>
      <w:r>
        <w:rPr>
          <w:rFonts w:ascii="Arial" w:cs="Arial" w:eastAsia="Arial" w:hAnsi="Arial"/>
          <w:sz w:val="22"/>
          <w:szCs w:val="22"/>
        </w:rPr>
        <w:t xml:space="preserve">Uma das transformações mais profundas e menos discutidas da última década é a crescente influência dos algoritmos de recomendação na formação de identidade, gostos e visão de mundo. As plataformas de redes sociais não apenas refletem preferências existentes — elas as amplificam, estreitam e, em muitos casos, constroem a partir de padrões estatísticos de comportamento. O usuário que assiste um vídeo sobre um tema passa a receber mais conteúdo sobre o mesmo tema, desenvolvendo uma "identidade algorítmica" que pode divergir substancialmente de seus interesses genuinamente formados.</w:t>
      </w:r>
    </w:p>
    <w:p>
      <w:pPr>
        <w:spacing w:before="80" w:after="80"/>
        <w:jc w:val="both"/>
      </w:pPr>
      <w:r>
        <w:rPr>
          <w:rFonts w:ascii="Arial" w:cs="Arial" w:eastAsia="Arial" w:hAnsi="Arial"/>
          <w:sz w:val="22"/>
          <w:szCs w:val="22"/>
        </w:rPr>
        <w:t xml:space="preserve">A Mintel identificou o crescimento do movimento "anti-algoritmo" como resposta consciente a esse fenômeno: consumidores que percebem a homogeneização de seus gostos e buscam ativamente recuperar autonomia de descoberta. Isso se manifesta em preferência por curadoria humana (editores, sommeliers, livreiros, personal shoppers), em valorização de mídias com ponto de vista editorial claro, e na migração para comunidades fechadas e nichos onde o conteúdo não é filtrado por engajamento algorítmico.</w:t>
      </w:r>
    </w:p>
    <w:p>
      <w:pPr>
        <w:spacing w:before="160" w:after="0"/>
      </w:pPr>
    </w:p>
    <w:p>
      <w:pPr>
        <w:pStyle w:val="Heading2"/>
        <w:spacing w:before="280" w:after="80"/>
      </w:pPr>
      <w:r>
        <w:rPr>
          <w:rFonts w:ascii="Arial" w:cs="Arial" w:eastAsia="Arial" w:hAnsi="Arial"/>
          <w:b/>
          <w:bCs/>
          <w:color w:val="1565C0"/>
          <w:sz w:val="28"/>
          <w:szCs w:val="28"/>
        </w:rPr>
        <w:t xml:space="preserve">6.2. IA, Companhia e os Limites da Intimidade Digital</w:t>
      </w:r>
    </w:p>
    <w:p>
      <w:pPr>
        <w:spacing w:before="80" w:after="80"/>
        <w:jc w:val="both"/>
      </w:pPr>
      <w:r>
        <w:rPr>
          <w:rFonts w:ascii="Arial" w:cs="Arial" w:eastAsia="Arial" w:hAnsi="Arial"/>
          <w:sz w:val="22"/>
          <w:szCs w:val="22"/>
        </w:rPr>
        <w:t xml:space="preserve">Um fenômeno que emerge com força crescente no período é o uso de IA para preencher necessidades relacionais e emocionais. Segundo a Menlo Ventures, 31% dos adultos que usam tecnologia para relacionamentos amorosos já utilizaram IA para aconselhamento ou apoio em namoro; 26% para manter amizades virtuais; e 18% para iniciar conversas sociais. Aplicativos de companhia virtual, como Character.AI e Replika, multiplicaram-se e aprofundaram-se em suas capacidades de simulação de vínculo.</w:t>
      </w:r>
    </w:p>
    <w:p>
      <w:pPr>
        <w:spacing w:before="80" w:after="80"/>
        <w:jc w:val="both"/>
      </w:pPr>
      <w:r>
        <w:rPr>
          <w:rFonts w:ascii="Arial" w:cs="Arial" w:eastAsia="Arial" w:hAnsi="Arial"/>
          <w:sz w:val="22"/>
          <w:szCs w:val="22"/>
        </w:rPr>
        <w:t xml:space="preserve">Esse fenômeno divide especialistas. Para alguns, representa uma solução legítima de tecnologia para isolamento social — especialmente em populações com dificuldade de conexão, como pessoas com autismo, idosos ou indivíduos em contextos geográficos isolados. Para outros, representa uma intensificação da substitutividade: a IA não resolve o isolamento, ela o torna tolerável sem resolver suas causas — e ao fazê-lo, pode reduzir a motivação para construir vínculos reais. A analogia histórica com o dating online é citada frequentemente: também foi visto com ceticismo e tornou-se mainstream. Mas as implicações de escala para o tecido social são ainda desconhecidas.</w:t>
      </w:r>
    </w:p>
    <w:p>
      <w:pPr>
        <w:spacing w:before="160" w:after="0"/>
      </w:pPr>
    </w:p>
    <w:p>
      <w:pPr>
        <w:pStyle w:val="Heading2"/>
        <w:spacing w:before="280" w:after="80"/>
      </w:pPr>
      <w:r>
        <w:rPr>
          <w:rFonts w:ascii="Arial" w:cs="Arial" w:eastAsia="Arial" w:hAnsi="Arial"/>
          <w:b/>
          <w:bCs/>
          <w:color w:val="1565C0"/>
          <w:sz w:val="28"/>
          <w:szCs w:val="28"/>
        </w:rPr>
        <w:t xml:space="preserve">6.3. Privacidade, Dados e o Novo Contrato de Confiança</w:t>
      </w:r>
    </w:p>
    <w:p>
      <w:pPr>
        <w:spacing w:before="80" w:after="80"/>
        <w:jc w:val="both"/>
      </w:pPr>
      <w:r>
        <w:rPr>
          <w:rFonts w:ascii="Arial" w:cs="Arial" w:eastAsia="Arial" w:hAnsi="Arial"/>
          <w:sz w:val="22"/>
          <w:szCs w:val="22"/>
        </w:rPr>
        <w:t xml:space="preserve">A expansão da IA em todas as camadas da vida cotidiana torna a questão de privacidade e soberania de dados mais urgente e mais complexa do que nunca. Agentes de IA que gerenciam compras, leem e-mails, monitoram saúde e assessoram decisões financeiras precisam ter acesso a volumes de dados pessoais inéditos para funcionar bem. O paradoxo central do período é que o produto mais valioso para personalização — dados pessoais detalhados e contextuais — é também o que os consumidores mais desconfiam em compartilhar.</w:t>
      </w:r>
    </w:p>
    <w:p>
      <w:pPr>
        <w:spacing w:before="80" w:after="80"/>
        <w:jc w:val="both"/>
      </w:pPr>
      <w:r>
        <w:rPr>
          <w:rFonts w:ascii="Arial" w:cs="Arial" w:eastAsia="Arial" w:hAnsi="Arial"/>
          <w:sz w:val="22"/>
          <w:szCs w:val="22"/>
        </w:rPr>
        <w:t xml:space="preserve">A resposta do mercado está na transição para dados de primeira e zero partido: informações fornecidas voluntariamente pelos próprios usuários, em troca de valor percebido claro. Programas de fidelidade, preferências declaradas, histórico de interação consentido e comunidades de co-criação tornam-se os ativos de dados mais valiosos. Marcas que constroem relações de dados baseadas em troca transparente e valor real estão montando uma vantagem competitiva que será estrutural no ciclo que se abre.</w:t>
      </w:r>
    </w:p>
    <w:p>
      <w:pPr>
        <w:spacing w:before="160" w:after="0"/>
      </w:pPr>
    </w:p>
    <w:p>
      <w:r>
        <w:br w:type="page"/>
      </w:r>
    </w:p>
    <w:p>
      <w:pPr>
        <w:pStyle w:val="Heading1"/>
        <w:spacing w:before="360" w:after="120"/>
      </w:pPr>
      <w:r>
        <w:rPr>
          <w:rFonts w:ascii="Arial" w:cs="Arial" w:eastAsia="Arial" w:hAnsi="Arial"/>
          <w:b/>
          <w:bCs/>
          <w:color w:val="0A3161"/>
          <w:sz w:val="38"/>
          <w:szCs w:val="38"/>
        </w:rPr>
        <w:t xml:space="preserve">Parte VII — As Seis Tensões Definidoras do Período</w:t>
      </w:r>
    </w:p>
    <w:p>
      <w:pPr>
        <w:spacing w:before="80" w:after="80"/>
        <w:jc w:val="both"/>
      </w:pPr>
      <w:r>
        <w:rPr>
          <w:rFonts w:ascii="Arial" w:cs="Arial" w:eastAsia="Arial" w:hAnsi="Arial"/>
          <w:sz w:val="22"/>
          <w:szCs w:val="22"/>
        </w:rPr>
        <w:t xml:space="preserve">Nenhuma análise tecnológica é completa sem mapear as forças em conflito que produzem os fenômenos observados. As tensões a seguir são o campo de batalha onde as próximas decisões estratégicas serão tomadas.</w:t>
      </w:r>
    </w:p>
    <w:p>
      <w:pPr>
        <w:spacing w:before="80" w:after="0"/>
      </w:pPr>
    </w:p>
    <w:p>
      <w:pPr>
        <w:spacing w:before="200" w:after="60"/>
      </w:pPr>
      <w:r>
        <w:rPr>
          <w:rFonts w:ascii="Arial" w:cs="Arial" w:eastAsia="Arial" w:hAnsi="Arial"/>
          <w:b/>
          <w:bCs/>
          <w:color w:val="0288D1"/>
          <w:sz w:val="24"/>
          <w:szCs w:val="24"/>
        </w:rPr>
        <w:t xml:space="preserve">Tensão 1: Eficiência por IA vs. Ansiedade de Obsolescência</w:t>
      </w:r>
    </w:p>
    <w:p>
      <w:pPr>
        <w:spacing w:before="80" w:after="80"/>
        <w:jc w:val="both"/>
      </w:pPr>
      <w:r>
        <w:rPr>
          <w:rFonts w:ascii="Arial" w:cs="Arial" w:eastAsia="Arial" w:hAnsi="Arial"/>
          <w:sz w:val="22"/>
          <w:szCs w:val="22"/>
        </w:rPr>
        <w:t xml:space="preserve">A mesma tecnologia que aumenta produtividade individual em 30–60% gera em 46% dos jovens o medo de perder o emprego em cinco anos. O ganho de eficiência não está distribuindo confiança — está distribuindo insegurança. Organizações que quiserem colher os benefícios da IA precisarão investir tanto em comunicação e gestão da transição quanto em tecnologia.</w:t>
      </w:r>
    </w:p>
    <w:p>
      <w:pPr>
        <w:spacing w:before="200" w:after="60"/>
      </w:pPr>
      <w:r>
        <w:rPr>
          <w:rFonts w:ascii="Arial" w:cs="Arial" w:eastAsia="Arial" w:hAnsi="Arial"/>
          <w:b/>
          <w:bCs/>
          <w:color w:val="0288D1"/>
          <w:sz w:val="24"/>
          <w:szCs w:val="24"/>
        </w:rPr>
        <w:t xml:space="preserve">Tensão 2: Personalização Profunda vs. Erosão da Privacidade</w:t>
      </w:r>
    </w:p>
    <w:p>
      <w:pPr>
        <w:spacing w:before="80" w:after="80"/>
        <w:jc w:val="both"/>
      </w:pPr>
      <w:r>
        <w:rPr>
          <w:rFonts w:ascii="Arial" w:cs="Arial" w:eastAsia="Arial" w:hAnsi="Arial"/>
          <w:sz w:val="22"/>
          <w:szCs w:val="22"/>
        </w:rPr>
        <w:t xml:space="preserve">Agentes de IA só entregam personalização relevante com acesso a dados profundos. Mas consumidores cada vez mais desconfiam de como seus dados são usados. O equilíbrio entre utilidade e privacidade será o maior desafio de design de produto da próxima fase da IA.</w:t>
      </w:r>
    </w:p>
    <w:p>
      <w:pPr>
        <w:spacing w:before="200" w:after="60"/>
      </w:pPr>
      <w:r>
        <w:rPr>
          <w:rFonts w:ascii="Arial" w:cs="Arial" w:eastAsia="Arial" w:hAnsi="Arial"/>
          <w:b/>
          <w:bCs/>
          <w:color w:val="0288D1"/>
          <w:sz w:val="24"/>
          <w:szCs w:val="24"/>
        </w:rPr>
        <w:t xml:space="preserve">Tensão 3: Conexão Digital vs. Isolamento Real</w:t>
      </w:r>
    </w:p>
    <w:p>
      <w:pPr>
        <w:spacing w:before="80" w:after="80"/>
        <w:jc w:val="both"/>
      </w:pPr>
      <w:r>
        <w:rPr>
          <w:rFonts w:ascii="Arial" w:cs="Arial" w:eastAsia="Arial" w:hAnsi="Arial"/>
          <w:sz w:val="22"/>
          <w:szCs w:val="22"/>
        </w:rPr>
        <w:t xml:space="preserve">Plataformas projetadas para conectar estão correlacionadas com crescente isolamento, ansiedade social e dificuldade de relações presenciais — especialmente em adolescentes. A "solução" de IA para relacionamentos torna o isolamento tolerável sem resolvê-lo. O paradoxo da plataforma de conexão que gera solidão estrutural ainda não tem resposta satisfatória.</w:t>
      </w:r>
    </w:p>
    <w:p>
      <w:pPr>
        <w:spacing w:before="200" w:after="60"/>
      </w:pPr>
      <w:r>
        <w:rPr>
          <w:rFonts w:ascii="Arial" w:cs="Arial" w:eastAsia="Arial" w:hAnsi="Arial"/>
          <w:b/>
          <w:bCs/>
          <w:color w:val="0288D1"/>
          <w:sz w:val="24"/>
          <w:szCs w:val="24"/>
        </w:rPr>
        <w:t xml:space="preserve">Tensão 4: Democratização da IA vs. Aprofundamento da Desigualdade Digital</w:t>
      </w:r>
    </w:p>
    <w:p>
      <w:pPr>
        <w:spacing w:before="80" w:after="80"/>
        <w:jc w:val="both"/>
      </w:pPr>
      <w:r>
        <w:rPr>
          <w:rFonts w:ascii="Arial" w:cs="Arial" w:eastAsia="Arial" w:hAnsi="Arial"/>
          <w:sz w:val="22"/>
          <w:szCs w:val="22"/>
        </w:rPr>
        <w:t xml:space="preserve">O DeepSeek democratiza o acesso em mercados antes excluídos. Mas o uso avançado de IA — como vantagem competitiva real, não apenas novelty — exige infraestrutura, dados de qualidade, habilidades de prompting e literacia digital que continuam concentradas em grupos privilegiados. A promessa de democratização e a realidade da concentração de valor coexistem no mesmo fenômeno.</w:t>
      </w:r>
    </w:p>
    <w:p>
      <w:pPr>
        <w:spacing w:before="200" w:after="60"/>
      </w:pPr>
      <w:r>
        <w:rPr>
          <w:rFonts w:ascii="Arial" w:cs="Arial" w:eastAsia="Arial" w:hAnsi="Arial"/>
          <w:b/>
          <w:bCs/>
          <w:color w:val="0288D1"/>
          <w:sz w:val="24"/>
          <w:szCs w:val="24"/>
        </w:rPr>
        <w:t xml:space="preserve">Tensão 5: Automação de Tarefas vs. Preservação do Significado</w:t>
      </w:r>
    </w:p>
    <w:p>
      <w:pPr>
        <w:spacing w:before="80" w:after="80"/>
        <w:jc w:val="both"/>
      </w:pPr>
      <w:r>
        <w:rPr>
          <w:rFonts w:ascii="Arial" w:cs="Arial" w:eastAsia="Arial" w:hAnsi="Arial"/>
          <w:sz w:val="22"/>
          <w:szCs w:val="22"/>
        </w:rPr>
        <w:t xml:space="preserve">Delegar tarefas à IA libera tempo — mas o trabalho humano tem funções além da produção: ele estrutura identidade, provê pertencimento, oferece propósito. Quando a IA automatiza não apenas as tarefas chatas, mas também partes criativas, surgem questões mais profundas sobre autoria, competência e significado. O design das novas formas de trabalho humano-IA precisará tratar o significado como variável de projeto, não como subproduto esperado.</w:t>
      </w:r>
    </w:p>
    <w:p>
      <w:pPr>
        <w:spacing w:before="200" w:after="60"/>
      </w:pPr>
      <w:r>
        <w:rPr>
          <w:rFonts w:ascii="Arial" w:cs="Arial" w:eastAsia="Arial" w:hAnsi="Arial"/>
          <w:b/>
          <w:bCs/>
          <w:color w:val="0288D1"/>
          <w:sz w:val="24"/>
          <w:szCs w:val="24"/>
        </w:rPr>
        <w:t xml:space="preserve">Tensão 6: Velocidade de Adoção vs. Capacidade de Governança</w:t>
      </w:r>
    </w:p>
    <w:p>
      <w:pPr>
        <w:spacing w:before="80" w:after="80"/>
        <w:jc w:val="both"/>
      </w:pPr>
      <w:r>
        <w:rPr>
          <w:rFonts w:ascii="Arial" w:cs="Arial" w:eastAsia="Arial" w:hAnsi="Arial"/>
          <w:sz w:val="22"/>
          <w:szCs w:val="22"/>
        </w:rPr>
        <w:t xml:space="preserve">A adoção de IA cresce 20% ao ano nas organizações; os frameworks de governança crescem em velocidade muito menor. Mais de 40% dos projetos agênticos falharão até 2027 — não por falta de tecnologia, mas por falta de dados de qualidade, processos adequados e estruturas de responsabilização. A velocidade que é vantagem competitiva quando acerta é risco sistêmico quando falha.</w:t>
      </w:r>
    </w:p>
    <w:p>
      <w:pPr>
        <w:spacing w:before="160" w:after="0"/>
      </w:pPr>
    </w:p>
    <w:p>
      <w:r>
        <w:br w:type="page"/>
      </w:r>
    </w:p>
    <w:p>
      <w:pPr>
        <w:pStyle w:val="Heading1"/>
        <w:spacing w:before="360" w:after="120"/>
      </w:pPr>
      <w:r>
        <w:rPr>
          <w:rFonts w:ascii="Arial" w:cs="Arial" w:eastAsia="Arial" w:hAnsi="Arial"/>
          <w:b/>
          <w:bCs/>
          <w:color w:val="0A3161"/>
          <w:sz w:val="38"/>
          <w:szCs w:val="38"/>
        </w:rPr>
        <w:t xml:space="preserve">Parte VIII — Implicações Estratégicas por Dimensão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c>
          <w:tcPr>
            <w:tcW w:type="dxa" w:w="2100"/>
            <w:tcBorders>
              <w:top w:val="single" w:color="CCCCCC" w:sz="1"/>
              <w:left w:val="single" w:color="CCCCCC" w:sz="1"/>
              <w:bottom w:val="single" w:color="CCCCCC" w:sz="1"/>
              <w:right w:val="single" w:color="CCCCCC" w:sz="1"/>
            </w:tcBorders>
            <w:shd w:fill="0A3161" w:val="clear"/>
            <w:tcMar>
              <w:top w:type="dxa" w:w="90"/>
              <w:left w:type="dxa" w:w="120"/>
              <w:bottom w:type="dxa" w:w="90"/>
              <w:right w:type="dxa" w:w="80"/>
            </w:tcMar>
          </w:tcPr>
          <w:p>
            <w:r>
              <w:rPr>
                <w:rFonts w:ascii="Arial" w:cs="Arial" w:eastAsia="Arial" w:hAnsi="Arial"/>
                <w:b/>
                <w:bCs/>
                <w:color w:val="FFFFFF"/>
                <w:sz w:val="20"/>
                <w:szCs w:val="20"/>
              </w:rPr>
              <w:t xml:space="preserve">Dimensão</w:t>
            </w:r>
          </w:p>
        </w:tc>
        <w:tc>
          <w:tcPr>
            <w:tcW w:type="dxa" w:w="3600"/>
            <w:tcBorders>
              <w:top w:val="single" w:color="CCCCCC" w:sz="1"/>
              <w:left w:val="single" w:color="CCCCCC" w:sz="1"/>
              <w:bottom w:val="single" w:color="CCCCCC" w:sz="1"/>
              <w:right w:val="single" w:color="CCCCCC" w:sz="1"/>
            </w:tcBorders>
            <w:shd w:fill="0A3161" w:val="clear"/>
            <w:tcMar>
              <w:top w:type="dxa" w:w="90"/>
              <w:left w:type="dxa" w:w="120"/>
              <w:bottom w:type="dxa" w:w="90"/>
              <w:right w:type="dxa" w:w="80"/>
            </w:tcMar>
          </w:tcPr>
          <w:p>
            <w:r>
              <w:rPr>
                <w:rFonts w:ascii="Arial" w:cs="Arial" w:eastAsia="Arial" w:hAnsi="Arial"/>
                <w:b/>
                <w:bCs/>
                <w:color w:val="FFFFFF"/>
                <w:sz w:val="20"/>
                <w:szCs w:val="20"/>
              </w:rPr>
              <w:t xml:space="preserve">Implicação de Curto Prazo (6–12 meses)</w:t>
            </w:r>
          </w:p>
        </w:tc>
        <w:tc>
          <w:tcPr>
            <w:tcW w:type="dxa" w:w="3660"/>
            <w:tcBorders>
              <w:top w:val="single" w:color="CCCCCC" w:sz="1"/>
              <w:left w:val="single" w:color="CCCCCC" w:sz="1"/>
              <w:bottom w:val="single" w:color="CCCCCC" w:sz="1"/>
              <w:right w:val="single" w:color="CCCCCC" w:sz="1"/>
            </w:tcBorders>
            <w:shd w:fill="0A3161" w:val="clear"/>
            <w:tcMar>
              <w:top w:type="dxa" w:w="90"/>
              <w:left w:type="dxa" w:w="120"/>
              <w:bottom w:type="dxa" w:w="90"/>
              <w:right w:type="dxa" w:w="80"/>
            </w:tcMar>
          </w:tcPr>
          <w:p>
            <w:r>
              <w:rPr>
                <w:rFonts w:ascii="Arial" w:cs="Arial" w:eastAsia="Arial" w:hAnsi="Arial"/>
                <w:b/>
                <w:bCs/>
                <w:color w:val="FFFFFF"/>
                <w:sz w:val="20"/>
                <w:szCs w:val="20"/>
              </w:rPr>
              <w:t xml:space="preserve">Aposta de Longo Prazo (3–5 anos)</w:t>
            </w:r>
          </w:p>
        </w:tc>
      </w:tr>
      <w:tr>
        <w:tc>
          <w:tcPr>
            <w:tcW w:type="dxa" w:w="21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bCs/>
                <w:color w:val="0A3161"/>
                <w:sz w:val="20"/>
                <w:szCs w:val="20"/>
              </w:rPr>
              <w:t xml:space="preserve">Negócios e Estratégia</w:t>
            </w:r>
          </w:p>
        </w:tc>
        <w:tc>
          <w:tcPr>
            <w:tcW w:type="dxa" w:w="3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D1B2A"/>
                <w:sz w:val="20"/>
                <w:szCs w:val="20"/>
              </w:rPr>
              <w:t xml:space="preserve">Mapear quais processos internos se beneficiam de IA agêntica. Começar por automação de tarefas repetitivas com ROI mensurável.</w:t>
            </w:r>
          </w:p>
        </w:tc>
        <w:tc>
          <w:tcPr>
            <w:tcW w:type="dxa" w:w="366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D1B2A"/>
                <w:sz w:val="20"/>
                <w:szCs w:val="20"/>
              </w:rPr>
              <w:t xml:space="preserve">Redesenhar o modelo operacional em torno de colaboração humano-agente. Construir Centros de Excelência em IA.</w:t>
            </w:r>
          </w:p>
        </w:tc>
      </w:tr>
      <w:tr>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bCs/>
                <w:color w:val="0A3161"/>
                <w:sz w:val="20"/>
                <w:szCs w:val="20"/>
              </w:rPr>
              <w:t xml:space="preserve">Marketing e Consumidor</w:t>
            </w:r>
          </w:p>
        </w:tc>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D1B2A"/>
                <w:sz w:val="20"/>
                <w:szCs w:val="20"/>
              </w:rPr>
              <w:t xml:space="preserve">Otimizar presença para citação por LLMs (não apenas SEO). Investir em UGC e autenticidade verificável.</w:t>
            </w:r>
          </w:p>
        </w:tc>
        <w:tc>
          <w:tcPr>
            <w:tcW w:type="dxa" w:w="36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D1B2A"/>
                <w:sz w:val="20"/>
                <w:szCs w:val="20"/>
              </w:rPr>
              <w:t xml:space="preserve">Construir dados de primeira parte robustos. Ser 'recomendável por IA' como critério de posicionamento de marca.</w:t>
            </w:r>
          </w:p>
        </w:tc>
      </w:tr>
      <w:tr>
        <w:tc>
          <w:tcPr>
            <w:tcW w:type="dxa" w:w="21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bCs/>
                <w:color w:val="0A3161"/>
                <w:sz w:val="20"/>
                <w:szCs w:val="20"/>
              </w:rPr>
              <w:t xml:space="preserve">Recursos Humanos</w:t>
            </w:r>
          </w:p>
        </w:tc>
        <w:tc>
          <w:tcPr>
            <w:tcW w:type="dxa" w:w="3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D1B2A"/>
                <w:sz w:val="20"/>
                <w:szCs w:val="20"/>
              </w:rPr>
              <w:t xml:space="preserve">Comunicar ativamente a estratégia de IA aos colaboradores. Identificar e reskilling urgente para papéis ameaçados.</w:t>
            </w:r>
          </w:p>
        </w:tc>
        <w:tc>
          <w:tcPr>
            <w:tcW w:type="dxa" w:w="366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D1B2A"/>
                <w:sz w:val="20"/>
                <w:szCs w:val="20"/>
              </w:rPr>
              <w:t xml:space="preserve">Migrar para modelo de gestão por habilidades. Criar trilhas de aprendizado contínuo para a era agêntica.</w:t>
            </w:r>
          </w:p>
        </w:tc>
      </w:tr>
      <w:tr>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bCs/>
                <w:color w:val="0A3161"/>
                <w:sz w:val="20"/>
                <w:szCs w:val="20"/>
              </w:rPr>
              <w:t xml:space="preserve">Saúde Digital e Bem-Estar</w:t>
            </w:r>
          </w:p>
        </w:tc>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D1B2A"/>
                <w:sz w:val="20"/>
                <w:szCs w:val="20"/>
              </w:rPr>
              <w:t xml:space="preserve">Implementar políticas de uso saudável de tecnologia no trabalho. Oferecer benefícios de saúde mental e digital wellness.</w:t>
            </w:r>
          </w:p>
        </w:tc>
        <w:tc>
          <w:tcPr>
            <w:tcW w:type="dxa" w:w="36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D1B2A"/>
                <w:sz w:val="20"/>
                <w:szCs w:val="20"/>
              </w:rPr>
              <w:t xml:space="preserve">Advocacia por regulação responsável de plataformas. Integrar literacia digital à formação de crianças e jovens.</w:t>
            </w:r>
          </w:p>
        </w:tc>
      </w:tr>
      <w:tr>
        <w:tc>
          <w:tcPr>
            <w:tcW w:type="dxa" w:w="21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bCs/>
                <w:color w:val="0A3161"/>
                <w:sz w:val="20"/>
                <w:szCs w:val="20"/>
              </w:rPr>
              <w:t xml:space="preserve">Educação</w:t>
            </w:r>
          </w:p>
        </w:tc>
        <w:tc>
          <w:tcPr>
            <w:tcW w:type="dxa" w:w="360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D1B2A"/>
                <w:sz w:val="20"/>
                <w:szCs w:val="20"/>
              </w:rPr>
              <w:t xml:space="preserve">Atualizar currículos para incluir uso crítico de IA. Discutir abertamente riscos de dependência digital com estudantes.</w:t>
            </w:r>
          </w:p>
        </w:tc>
        <w:tc>
          <w:tcPr>
            <w:tcW w:type="dxa" w:w="3660"/>
            <w:tcBorders>
              <w:top w:val="single" w:color="CCCCCC" w:sz="1"/>
              <w:left w:val="single" w:color="CCCCCC" w:sz="1"/>
              <w:bottom w:val="single" w:color="CCCCCC" w:sz="1"/>
              <w:right w:val="single" w:color="CCCCCC" w:sz="1"/>
            </w:tcBorders>
            <w:shd w:fill="F0F4FA" w:val="clear"/>
            <w:tcMar>
              <w:top w:type="dxa" w:w="75"/>
              <w:left w:type="dxa" w:w="120"/>
              <w:bottom w:type="dxa" w:w="75"/>
              <w:right w:type="dxa" w:w="80"/>
            </w:tcMar>
          </w:tcPr>
          <w:p>
            <w:r>
              <w:rPr>
                <w:rFonts w:ascii="Arial" w:cs="Arial" w:eastAsia="Arial" w:hAnsi="Arial"/>
                <w:b w:val="false"/>
                <w:bCs w:val="false"/>
                <w:color w:val="0D1B2A"/>
                <w:sz w:val="20"/>
                <w:szCs w:val="20"/>
              </w:rPr>
              <w:t xml:space="preserve">Reformular modelo pedagógico para desenvolver habilidades insubstituíveis por IA: julgamento, criatividade, empatia.</w:t>
            </w:r>
          </w:p>
        </w:tc>
      </w:tr>
      <w:tr>
        <w:tc>
          <w:tcPr>
            <w:tcW w:type="dxa" w:w="21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bCs/>
                <w:color w:val="0A3161"/>
                <w:sz w:val="20"/>
                <w:szCs w:val="20"/>
              </w:rPr>
              <w:t xml:space="preserve">Regulação Pública</w:t>
            </w:r>
          </w:p>
        </w:tc>
        <w:tc>
          <w:tcPr>
            <w:tcW w:type="dxa" w:w="360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D1B2A"/>
                <w:sz w:val="20"/>
                <w:szCs w:val="20"/>
              </w:rPr>
              <w:t xml:space="preserve">Acelerar regulamentação de acesso de menores às redes sociais. Estabelecer padrões de transparência para algoritmos de recomendação.</w:t>
            </w:r>
          </w:p>
        </w:tc>
        <w:tc>
          <w:tcPr>
            <w:tcW w:type="dxa" w:w="3660"/>
            <w:tcBorders>
              <w:top w:val="single" w:color="CCCCCC" w:sz="1"/>
              <w:left w:val="single" w:color="CCCCCC" w:sz="1"/>
              <w:bottom w:val="single" w:color="CCCCCC" w:sz="1"/>
              <w:right w:val="single" w:color="CCCCCC" w:sz="1"/>
            </w:tcBorders>
            <w:shd w:fill="FFFFFF" w:val="clear"/>
            <w:tcMar>
              <w:top w:type="dxa" w:w="75"/>
              <w:left w:type="dxa" w:w="120"/>
              <w:bottom w:type="dxa" w:w="75"/>
              <w:right w:type="dxa" w:w="80"/>
            </w:tcMar>
          </w:tcPr>
          <w:p>
            <w:r>
              <w:rPr>
                <w:rFonts w:ascii="Arial" w:cs="Arial" w:eastAsia="Arial" w:hAnsi="Arial"/>
                <w:b w:val="false"/>
                <w:bCs w:val="false"/>
                <w:color w:val="0D1B2A"/>
                <w:sz w:val="20"/>
                <w:szCs w:val="20"/>
              </w:rPr>
              <w:t xml:space="preserve">Construir marcos regulatórios para IA agêntica — responsabilidade, auditabilidade e limites de autonomia.</w:t>
            </w:r>
          </w:p>
        </w:tc>
      </w:tr>
    </w:tbl>
    <w:p>
      <w:pPr>
        <w:spacing w:before="160" w:after="0"/>
      </w:pPr>
    </w:p>
    <w:p>
      <w:r>
        <w:br w:type="page"/>
      </w:r>
    </w:p>
    <w:p>
      <w:pPr>
        <w:pStyle w:val="Heading1"/>
        <w:spacing w:before="360" w:after="120"/>
      </w:pPr>
      <w:r>
        <w:rPr>
          <w:rFonts w:ascii="Arial" w:cs="Arial" w:eastAsia="Arial" w:hAnsi="Arial"/>
          <w:b/>
          <w:bCs/>
          <w:color w:val="0A3161"/>
          <w:sz w:val="38"/>
          <w:szCs w:val="38"/>
        </w:rPr>
        <w:t xml:space="preserve">Conclusão — As Perguntas que Nenhum Dado Responde Ainda</w:t>
      </w:r>
    </w:p>
    <w:p>
      <w:pPr>
        <w:spacing w:before="80" w:after="80"/>
        <w:jc w:val="both"/>
      </w:pPr>
      <w:r>
        <w:rPr>
          <w:rFonts w:ascii="Arial" w:cs="Arial" w:eastAsia="Arial" w:hAnsi="Arial"/>
          <w:sz w:val="22"/>
          <w:szCs w:val="22"/>
        </w:rPr>
        <w:t xml:space="preserve">Este relatório documenta transformações, mas termina, como deve terminar qualquer análise séria, nas perguntas que os dados não conseguem responder — porque elas requerem decisões humanas, não análise adicional.</w:t>
      </w:r>
    </w:p>
    <w:p>
      <w:pPr>
        <w:spacing w:before="80" w:after="0"/>
      </w:pPr>
    </w:p>
    <w:p>
      <w:pPr>
        <w:pStyle w:val="ListParagraph"/>
        <w:numPr>
          <w:ilvl w:val="0"/>
          <w:numId w:val="2"/>
        </w:numPr>
        <w:spacing w:before="40" w:after="40"/>
      </w:pPr>
      <w:r>
        <w:rPr>
          <w:rFonts w:ascii="Arial" w:cs="Arial" w:eastAsia="Arial" w:hAnsi="Arial"/>
          <w:sz w:val="22"/>
          <w:szCs w:val="22"/>
        </w:rPr>
        <w:t xml:space="preserve">A IA está ampliando nossa capacidade de pensar ou está substituindo o esforço cognitivo de forma que, a longo prazo, atrofia as capacidades que ela deveria suportar?</w:t>
      </w:r>
    </w:p>
    <w:p>
      <w:pPr>
        <w:pStyle w:val="ListParagraph"/>
        <w:numPr>
          <w:ilvl w:val="0"/>
          <w:numId w:val="2"/>
        </w:numPr>
        <w:spacing w:before="40" w:after="40"/>
      </w:pPr>
      <w:r>
        <w:rPr>
          <w:rFonts w:ascii="Arial" w:cs="Arial" w:eastAsia="Arial" w:hAnsi="Arial"/>
          <w:sz w:val="22"/>
          <w:szCs w:val="22"/>
        </w:rPr>
        <w:t xml:space="preserve">O design adictivo das plataformas é um dano colateral tolerável de um setor que gera valor econômico e social — ou é uma falha sistêmica que exige resposta regulatória análoga à que impusemos a outras indústrias que externalizam custos de saúde para a sociedade?</w:t>
      </w:r>
    </w:p>
    <w:p>
      <w:pPr>
        <w:pStyle w:val="ListParagraph"/>
        <w:numPr>
          <w:ilvl w:val="0"/>
          <w:numId w:val="2"/>
        </w:numPr>
        <w:spacing w:before="40" w:after="40"/>
      </w:pPr>
      <w:r>
        <w:rPr>
          <w:rFonts w:ascii="Arial" w:cs="Arial" w:eastAsia="Arial" w:hAnsi="Arial"/>
          <w:sz w:val="22"/>
          <w:szCs w:val="22"/>
        </w:rPr>
        <w:t xml:space="preserve">Como as organizações distribuirão os ganhos de produtividade gerados pela IA — entre os acionistas que financiaram a tecnologia, os trabalhadores que a adotaram e a sociedade que absorve os custos de transição?</w:t>
      </w:r>
    </w:p>
    <w:p>
      <w:pPr>
        <w:pStyle w:val="ListParagraph"/>
        <w:numPr>
          <w:ilvl w:val="0"/>
          <w:numId w:val="2"/>
        </w:numPr>
        <w:spacing w:before="40" w:after="40"/>
      </w:pPr>
      <w:r>
        <w:rPr>
          <w:rFonts w:ascii="Arial" w:cs="Arial" w:eastAsia="Arial" w:hAnsi="Arial"/>
          <w:sz w:val="22"/>
          <w:szCs w:val="22"/>
        </w:rPr>
        <w:t xml:space="preserve">Quando a IA agêntica media compras, cuida de relacionamentos e toma decisões de trabalho, onde reside a agência humana? E o que acontece com a identidade e o propósito quando delegamos crescentemente o fazer para sistemas que não entendem o porquê?</w:t>
      </w:r>
    </w:p>
    <w:p>
      <w:pPr>
        <w:pStyle w:val="ListParagraph"/>
        <w:numPr>
          <w:ilvl w:val="0"/>
          <w:numId w:val="2"/>
        </w:numPr>
        <w:spacing w:before="40" w:after="40"/>
      </w:pPr>
      <w:r>
        <w:rPr>
          <w:rFonts w:ascii="Arial" w:cs="Arial" w:eastAsia="Arial" w:hAnsi="Arial"/>
          <w:sz w:val="22"/>
          <w:szCs w:val="22"/>
        </w:rPr>
        <w:t xml:space="preserve">Qual é o modelo de literacia digital que precisamos construir para que a Geração Alpha — os primeiros nativos de IA — habite esse ambiente com autonomia, crítica e equilíbrio?</w:t>
      </w:r>
    </w:p>
    <w:p>
      <w:pPr>
        <w:spacing w:before="120" w:after="0"/>
      </w:pPr>
    </w:p>
    <w:p>
      <w:pPr>
        <w:pBdr>
          <w:left w:val="single" w:color="0288D1" w:sz="8" w:space="10"/>
        </w:pBdr>
        <w:spacing w:before="160" w:after="160"/>
        <w:ind w:left="720" w:right="720"/>
      </w:pPr>
      <w:r>
        <w:rPr>
          <w:rFonts w:ascii="Arial" w:cs="Arial" w:eastAsia="Arial" w:hAnsi="Arial"/>
          <w:i/>
          <w:iCs/>
          <w:color w:val="333333"/>
          <w:sz w:val="22"/>
          <w:szCs w:val="22"/>
        </w:rPr>
        <w:t xml:space="preserve">"Hoje temos a IA mais fraca que qualquer pessoa jamais vai usar. Planejar para uma versão estável do que existe agora é projetar estratégias para uma tecnologia que não existirá mais quando a estratégia estiver pronta." — Matt Britton, CEO da Suzy (Adweek, jan/2026)</w:t>
      </w:r>
    </w:p>
    <w:p>
      <w:pPr>
        <w:spacing w:before="200" w:after="0"/>
      </w:pPr>
    </w:p>
    <w:p>
      <w:pPr>
        <w:pBdr>
          <w:bottom w:val="single" w:color="DDDDDD" w:sz="3" w:space="1"/>
        </w:pBdr>
        <w:spacing w:before="120" w:after="120"/>
      </w:pPr>
    </w:p>
    <w:p>
      <w:pPr>
        <w:spacing w:before="80" w:after="80"/>
        <w:jc w:val="both"/>
      </w:pPr>
      <w:r>
        <w:rPr>
          <w:rFonts w:ascii="Arial" w:cs="Arial" w:eastAsia="Arial" w:hAnsi="Arial"/>
          <w:color w:val="888888"/>
          <w:sz w:val="18"/>
          <w:szCs w:val="18"/>
        </w:rPr>
        <w:t xml:space="preserve">Fontes principais: Microsoft AI Economy Institute (Global AI Adoption 2025 H2, jan/2026) • Menlo Ventures (2025 State of Consumer AI, nov/2025) • Adobe / Oxford Economics (AI &amp; Digital Trends 2026, out-nov/2025) • Deloitte Insights (Agentic AI Strategy, dez/2025) • IDC FutureScape (Future of Work 2026, dez/2025) • Gartner (AI Agents Predictions 2026) • McKinsey (The Future of Work is Agentic, jun/2025 • The Agentic Organization) • JAMA / Weill Cornell Medicine / Columbia University (Addictive Screen Use and Youth Mental Health, jun/2025) • Journal of Behavioral Addiction (Digital Addiction Health Outcomes Meta-Analysis, set/2025) • American Journal of Health Research (Digital Addiction Among Youth, ago/2025) • Attest (Consumer AI Adoption Report, 2025) • Adweek / Suzy (Consumer AI Trends 2026, jan/2026) • ILO / Banco Mundial (AI and Work in Latin America, 2025) • Netguru (AI Adoption Statistics, dez/2025).</w:t>
      </w:r>
    </w:p>
    <w:p>
      <w:pPr>
        <w:spacing w:before="80" w:after="80"/>
        <w:jc w:val="both"/>
      </w:pPr>
      <w:r>
        <w:rPr>
          <w:rFonts w:ascii="Arial" w:cs="Arial" w:eastAsia="Arial" w:hAnsi="Arial"/>
          <w:i/>
          <w:iCs/>
          <w:color w:val="888888"/>
          <w:sz w:val="18"/>
          <w:szCs w:val="18"/>
        </w:rPr>
        <w:t xml:space="preserve">Relatório compilado em fevereiro de 2026. Terceiro volume da série: complementar aos relatórios Brasil e Global de Consumo 2025-2026.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A3161"/>
      <w:sz w:val="38"/>
      <w:szCs w:val="38"/>
    </w:rPr>
  </w:style>
  <w:style w:type="paragraph" w:styleId="Heading2">
    <w:name w:val="Heading 2"/>
    <w:basedOn w:val="Normal"/>
    <w:next w:val="Normal"/>
    <w:qFormat/>
    <w:pPr>
      <w:spacing w:before="280" w:after="8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2026-02-28T03:27:58.372Z</dcterms:created>
  <dcterms:modified xsi:type="dcterms:W3CDTF">2026-02-28T03:27:58.396Z</dcterms:modified>
</cp:coreProperties>
</file>

<file path=docProps/custom.xml><?xml version="1.0" encoding="utf-8"?>
<Properties xmlns="http://schemas.openxmlformats.org/officeDocument/2006/custom-properties" xmlns:vt="http://schemas.openxmlformats.org/officeDocument/2006/docPropsVTypes"/>
</file>