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aps/>
          <w:color w:val="888888"/>
          <w:sz w:val="22"/>
          <w:szCs w:val="22"/>
        </w:rPr>
        <w:t xml:space="preserve">RELATÓRIO ESTRATÉGICO · ECOSSISTEMA DE INOVAÇÃO GLOBAL</w:t>
      </w:r>
    </w:p>
    <w:p>
      <w:pPr>
        <w:spacing w:before="200" w:after="0"/>
        <w:jc w:val="center"/>
      </w:pPr>
      <w:r>
        <w:rPr>
          <w:rFonts w:ascii="Arial" w:cs="Arial" w:eastAsia="Arial" w:hAnsi="Arial"/>
          <w:b/>
          <w:bCs/>
          <w:color w:val="0D2B55"/>
          <w:sz w:val="60"/>
          <w:szCs w:val="60"/>
        </w:rPr>
        <w:t xml:space="preserve">O Novo Mapa do</w:t>
      </w:r>
    </w:p>
    <w:p>
      <w:pPr>
        <w:spacing w:before="40" w:after="0"/>
        <w:jc w:val="center"/>
      </w:pPr>
      <w:r>
        <w:rPr>
          <w:rFonts w:ascii="Arial" w:cs="Arial" w:eastAsia="Arial" w:hAnsi="Arial"/>
          <w:b/>
          <w:bCs/>
          <w:color w:val="0D2B55"/>
          <w:sz w:val="60"/>
          <w:szCs w:val="60"/>
        </w:rPr>
        <w:t xml:space="preserve">Capital e da Inovação</w:t>
      </w:r>
    </w:p>
    <w:p>
      <w:pPr>
        <w:spacing w:before="80" w:after="0"/>
        <w:jc w:val="center"/>
      </w:pPr>
      <w:r>
        <w:rPr>
          <w:rFonts w:ascii="Arial" w:cs="Arial" w:eastAsia="Arial" w:hAnsi="Arial"/>
          <w:i/>
          <w:iCs/>
          <w:color w:val="555555"/>
          <w:sz w:val="28"/>
          <w:szCs w:val="28"/>
        </w:rPr>
        <w:t xml:space="preserve">Startups · Venture Capital · Y Combinator · Os Próximos Vetores</w:t>
      </w:r>
    </w:p>
    <w:p>
      <w:pPr>
        <w:spacing w:before="100" w:after="0"/>
        <w:jc w:val="center"/>
      </w:pPr>
      <w:r>
        <w:rPr>
          <w:rFonts w:ascii="Arial" w:cs="Arial" w:eastAsia="Arial" w:hAnsi="Arial"/>
          <w:b/>
          <w:bCs/>
          <w:color w:val="A61C00"/>
          <w:sz w:val="30"/>
          <w:szCs w:val="30"/>
        </w:rPr>
        <w:t xml:space="preserve">Outubro 2025 – Março 2026 + Projeções 2026–2028</w:t>
      </w:r>
    </w:p>
    <w:p>
      <w:pPr>
        <w:pBdr>
          <w:top w:val="single" w:color="1A4F99" w:sz="4" w:space="10"/>
        </w:pBdr>
        <w:spacing w:before="300" w:after="0"/>
        <w:jc w:val="center"/>
      </w:pPr>
    </w:p>
    <w:p>
      <w:pPr>
        <w:spacing w:before="140" w:after="0"/>
        <w:jc w:val="center"/>
      </w:pPr>
      <w:r>
        <w:rPr>
          <w:rFonts w:ascii="Arial" w:cs="Arial" w:eastAsia="Arial" w:hAnsi="Arial"/>
          <w:i/>
          <w:iCs/>
          <w:color w:val="777777"/>
          <w:sz w:val="18"/>
          <w:szCs w:val="18"/>
        </w:rPr>
        <w:t xml:space="preserve">Fontes: Crunchbase · PitchBook · CB Insights · YC RFS Spring 2026 · a16z · Sequoia · Menlo Ventures · Vestbee · Catalaize · Extruct AI · VC Cafe</w:t>
      </w:r>
    </w:p>
    <w:p>
      <w:pPr>
        <w:spacing w:before="80" w:after="2200"/>
        <w:jc w:val="center"/>
      </w:pPr>
      <w:r>
        <w:rPr>
          <w:rFonts w:ascii="Arial" w:cs="Arial" w:eastAsia="Arial" w:hAnsi="Arial"/>
          <w:color w:val="888888"/>
          <w:sz w:val="18"/>
          <w:szCs w:val="18"/>
        </w:rPr>
        <w:t xml:space="preserve">Fevereiro de 2026 — Quarto volume da série de Inteligência Estratégica</w:t>
      </w:r>
    </w:p>
    <w:p>
      <w:r>
        <w:br w:type="page"/>
      </w:r>
    </w:p>
    <w:p>
      <w:pPr>
        <w:pStyle w:val="Heading1"/>
        <w:spacing w:before="400" w:after="120"/>
      </w:pPr>
      <w:r>
        <w:rPr>
          <w:rFonts w:ascii="Arial" w:cs="Arial" w:eastAsia="Arial" w:hAnsi="Arial"/>
          <w:b/>
          <w:bCs/>
          <w:color w:val="0D2B55"/>
          <w:sz w:val="40"/>
          <w:szCs w:val="40"/>
        </w:rPr>
        <w:t xml:space="preserve">Sumário Executivo — O Capital Votou</w:t>
      </w:r>
    </w:p>
    <w:p>
      <w:pPr>
        <w:spacing w:before="80" w:after="80"/>
        <w:jc w:val="both"/>
      </w:pPr>
      <w:r>
        <w:rPr>
          <w:rFonts w:ascii="Arial" w:cs="Arial" w:eastAsia="Arial" w:hAnsi="Arial"/>
          <w:sz w:val="22"/>
          <w:szCs w:val="22"/>
        </w:rPr>
        <w:t xml:space="preserve">Em 2025, o mercado global de venture capital enviou um sinal inequívoco: US$ 238 bilhões foram investidos em startups de inteligência artificial — 47% de todo o capital de risco global, concentrado em 18% das empresas financiadas. O maior round de VC da história foi fechado: US$ 40 bilhões para a OpenAI liderado pelo SoftBank. O segundo maior: US$ 14,3 bilhões para a Scale AI, com a Meta como investidora principal. O terceiro: US$ 13 bilhões para a Anthropic. Nunca na história do capitalismo de risco tão pouco dinheiro concentrou-se em tão poucos apostas de forma tão consciente e deliberada.</w:t>
      </w:r>
    </w:p>
    <w:p>
      <w:pPr>
        <w:spacing w:before="80" w:after="80"/>
        <w:jc w:val="both"/>
      </w:pPr>
      <w:r>
        <w:rPr>
          <w:rFonts w:ascii="Arial" w:cs="Arial" w:eastAsia="Arial" w:hAnsi="Arial"/>
          <w:sz w:val="22"/>
          <w:szCs w:val="22"/>
        </w:rPr>
        <w:t xml:space="preserve">Este relatório mapeia o que esse movimento de capital revela sobre o futuro da tecnologia, do consumo e da estrutura econômica global — não apenas como análise financeira, mas como leitura antropológica do que os agentes mais informados do ecossistema acreditam que virá a seguir. As apostas do YC, da a16z, da Sequoia e dos fundos soberanos são, antes de tudo, declarações de crença sobre qual mundo está sendo construído.</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D" w:val="clear"/>
            <w:tcMar>
              <w:top w:type="dxa" w:w="140"/>
              <w:left w:type="dxa" w:w="230"/>
              <w:bottom w:type="dxa" w:w="140"/>
              <w:right w:type="dxa" w:w="230"/>
            </w:tcMar>
          </w:tcPr>
          <w:p>
            <w:pPr>
              <w:spacing w:before="0" w:after="60"/>
            </w:pPr>
            <w:r>
              <w:rPr>
                <w:rFonts w:ascii="Arial" w:cs="Arial" w:eastAsia="Arial" w:hAnsi="Arial"/>
                <w:b/>
                <w:bCs/>
                <w:color w:val="0D2B55"/>
                <w:sz w:val="22"/>
                <w:szCs w:val="22"/>
              </w:rPr>
              <w:t xml:space="preserve">Tese Central</w:t>
            </w:r>
          </w:p>
          <w:p>
            <w:pPr>
              <w:spacing w:before="0" w:after="0"/>
              <w:jc w:val="both"/>
            </w:pPr>
            <w:r>
              <w:rPr>
                <w:rFonts w:ascii="Arial" w:cs="Arial" w:eastAsia="Arial" w:hAnsi="Arial"/>
                <w:sz w:val="22"/>
                <w:szCs w:val="22"/>
              </w:rPr>
              <w:t xml:space="preserve">O capital de risco global não está apostando no futuro da tecnologia: está apostando no futuro da economia como tal. A IA não é mais uma categoria vertical de investimento — ela é a infraestrutura horizontal de toda a próxima geração de negócios, da mesma forma que a internet foi nos anos 1990. Quem entende onde o capital flui entende onde o poder econômico se consolidará.</w:t>
            </w:r>
          </w:p>
        </w:tc>
      </w:tr>
    </w:tbl>
    <w:p>
      <w:pPr>
        <w:spacing w:before="140" w:after="0"/>
      </w:pPr>
    </w:p>
    <w:p>
      <w:r>
        <w:br w:type="page"/>
      </w:r>
    </w:p>
    <w:p>
      <w:pPr>
        <w:pStyle w:val="Heading1"/>
        <w:spacing w:before="400" w:after="120"/>
      </w:pPr>
      <w:r>
        <w:rPr>
          <w:rFonts w:ascii="Arial" w:cs="Arial" w:eastAsia="Arial" w:hAnsi="Arial"/>
          <w:b/>
          <w:bCs/>
          <w:color w:val="0D2B55"/>
          <w:sz w:val="40"/>
          <w:szCs w:val="40"/>
        </w:rPr>
        <w:t xml:space="preserve">Parte I — O Panorama do Venture Capital em 2025-2026</w:t>
      </w:r>
    </w:p>
    <w:p>
      <w:pPr>
        <w:pStyle w:val="Heading2"/>
        <w:spacing w:before="280" w:after="80"/>
      </w:pPr>
      <w:r>
        <w:rPr>
          <w:rFonts w:ascii="Arial" w:cs="Arial" w:eastAsia="Arial" w:hAnsi="Arial"/>
          <w:b/>
          <w:bCs/>
          <w:color w:val="1A4F99"/>
          <w:sz w:val="28"/>
          <w:szCs w:val="28"/>
        </w:rPr>
        <w:t xml:space="preserve">1.1. Um Ano de Recordes Seletivos</w:t>
      </w:r>
    </w:p>
    <w:p>
      <w:pPr>
        <w:spacing w:before="80" w:after="80"/>
        <w:jc w:val="both"/>
      </w:pPr>
      <w:r>
        <w:rPr>
          <w:rFonts w:ascii="Arial" w:cs="Arial" w:eastAsia="Arial" w:hAnsi="Arial"/>
          <w:sz w:val="22"/>
          <w:szCs w:val="22"/>
        </w:rPr>
        <w:t xml:space="preserve">O ecossistema de venture capital global encerrou 2025 como o terceiro maior ano de investimento da história, atrás apenas dos picos de 2021 e 2022. O dado mais relevante não é o volume total, mas a estrutura da distribuição: pela primeira vez, os cinco maiores rounds do ano foram todos superiores a US$ 10 bilhões — algo que não havia ocorrido nem nas bolhas anteriores. O capital não está apenas crescendo: está se concentrando em apostas de magnitude sem precedente.</w:t>
      </w:r>
    </w:p>
    <w:p>
      <w:pPr>
        <w:spacing w:before="80" w:after="80"/>
        <w:jc w:val="both"/>
      </w:pPr>
      <w:r>
        <w:rPr>
          <w:rFonts w:ascii="Arial" w:cs="Arial" w:eastAsia="Arial" w:hAnsi="Arial"/>
          <w:sz w:val="22"/>
          <w:szCs w:val="22"/>
        </w:rPr>
        <w:t xml:space="preserve">O Q3 de 2025 registrou US$ 97 bilhões globais — 38% acima do Q3 de 2024 —, com um terço de todo o capital indo para apenas 18 empresas que levantaram rounds de US$ 500 milhões ou mais. Em novembro de 2025, 43% de todo o funding global foi para 14 empresas que levantaram megarounds acima de US$ 500 milhões. Esse padrão de hiperseletividade é novo e estrutural: o VC está convergindo para uma lógica de aposta concentrada em líderes de categoria, em vez de distribuição diversificada.</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Indicador de Mercado</w:t>
            </w:r>
          </w:p>
        </w:tc>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Dado / Record 2025-2026</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Funding global de startups de IA (2025)</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A61C00"/>
                <w:sz w:val="20"/>
                <w:szCs w:val="20"/>
              </w:rPr>
              <w:t xml:space="preserve">US$ 238 bilhões — 47% de todo o VC global</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Maior round de VC da história</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A61C00"/>
                <w:sz w:val="20"/>
                <w:szCs w:val="20"/>
              </w:rPr>
              <w:t xml:space="preserve">US$ 40 bi — OpenAI / SoftBank (Q1 2025)</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2º maior round da história</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US$ 14,3 bi — Scale AI / Meta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3º maior round da história</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US$ 13 bi — Anthropic (Q3 2025)</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4º maior round: xAI (Elon Musk)</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US$ 5,3 bi — Q3 2025</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OpenAI: faturamento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US$ 14,2 bilhões — 18% acima da projeção inicial</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OpenAI: valuation (out/2025)</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US$ 500 bilhões — maior empresa privada do mundo</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OpenAI: IPO target</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Q2-Q3 2026, valuation alvo de US$ 550-600 bi</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Databricks: ARR</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US$ 4,5 bi; IPO confidencial arquivado jan/2026</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Capital de risco restante nos fundos</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US$ 1,02 trilhão — novo recorde histórico</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Funding H1 2025 vs H1 2024</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+32% — maior primeiro semestre desde 2022</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AI: % de todo o funding em Q4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A61C00"/>
                <w:sz w:val="20"/>
                <w:szCs w:val="20"/>
              </w:rPr>
              <w:t xml:space="preserve">77% — concentração sem precedente</w:t>
            </w:r>
          </w:p>
        </w:tc>
      </w:tr>
    </w:tbl>
    <w:p>
      <w:pPr>
        <w:spacing w:before="120" w:after="0"/>
      </w:pPr>
    </w:p>
    <w:p>
      <w:pPr>
        <w:pStyle w:val="Heading2"/>
        <w:spacing w:before="280" w:after="80"/>
      </w:pPr>
      <w:r>
        <w:rPr>
          <w:rFonts w:ascii="Arial" w:cs="Arial" w:eastAsia="Arial" w:hAnsi="Arial"/>
          <w:b/>
          <w:bCs/>
          <w:color w:val="1A4F99"/>
          <w:sz w:val="28"/>
          <w:szCs w:val="28"/>
        </w:rPr>
        <w:t xml:space="preserve">1.2. Os Protagonistas — Quem Está Movendo o Capital</w:t>
      </w:r>
    </w:p>
    <w:p>
      <w:pPr>
        <w:spacing w:before="80" w:after="80"/>
        <w:jc w:val="both"/>
      </w:pPr>
      <w:r>
        <w:rPr>
          <w:rFonts w:ascii="Arial" w:cs="Arial" w:eastAsia="Arial" w:hAnsi="Arial"/>
          <w:sz w:val="22"/>
          <w:szCs w:val="22"/>
        </w:rPr>
        <w:t xml:space="preserve">A análise da Crunchbase sobre os investidores mais ativos de 2025 revela uma consolidação dos incumbentes: Y Combinator, Andreessen Horowitz, Accel, General Catalyst e Sequoia Capital participaram de mais de 100 rounds reportados cada — e todos superaram seus números de 2024. Não há surpresas estruturais no ranking dos mais ativos: o que mudou é a magnitude dos cheques e a concentração das teses.</w:t>
      </w:r>
    </w:p>
    <w:p>
      <w:pPr>
        <w:spacing w:before="80" w:after="80"/>
        <w:jc w:val="both"/>
      </w:pPr>
      <w:r>
        <w:rPr>
          <w:rFonts w:ascii="Arial" w:cs="Arial" w:eastAsia="Arial" w:hAnsi="Arial"/>
          <w:sz w:val="22"/>
          <w:szCs w:val="22"/>
        </w:rPr>
        <w:t xml:space="preserve">Um fenômeno novo e revelador é a entrada de grandes corporações como investidores de referência em rounds de IA. Meta liderou US$ 14,3 bilhões na Scale AI. Microsoft, Google, Amazon e NVIDIA somados respondem por mais de metade de todo o investimento global relacionado à IA — nível de concentração corporativa não visto desde o boom da internet. Além disso, fundos soberanos e governos (China com US$ 62 bilhões, EUA com US$ 52 bilhões, UE com €7,4 bilhões) tornaram-se jogadores significativos, transformando IA em questão de segurança nacional além de oportunidade comercial.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D" w:val="clear"/>
            <w:tcMar>
              <w:top w:type="dxa" w:w="120"/>
              <w:left w:type="dxa" w:w="220"/>
              <w:bottom w:type="dxa" w:w="120"/>
              <w:right w:type="dxa" w:w="220"/>
            </w:tcMar>
          </w:tcPr>
          <w:p>
            <w:pPr>
              <w:spacing w:before="0" w:after="60"/>
            </w:pPr>
            <w:r>
              <w:rPr>
                <w:rFonts w:ascii="Arial" w:cs="Arial" w:eastAsia="Arial" w:hAnsi="Arial"/>
                <w:b/>
                <w:bCs/>
                <w:color w:val="0D2B55"/>
                <w:sz w:val="26"/>
                <w:szCs w:val="26"/>
              </w:rPr>
              <w:t xml:space="preserve">Andreessen Horowitz (a16z)</w:t>
            </w:r>
          </w:p>
          <w:p>
            <w:pPr>
              <w:spacing w:before="0" w:after="40"/>
            </w:pPr>
            <w:r>
              <w:rPr>
                <w:rFonts w:ascii="Arial" w:cs="Arial" w:eastAsia="Arial" w:hAnsi="Arial"/>
                <w:b/>
                <w:bCs/>
                <w:color w:val="1A4F99"/>
                <w:sz w:val="20"/>
                <w:szCs w:val="20"/>
              </w:rPr>
              <w:t xml:space="preserve">AUM / Foco: US$ 15+ bi em novos fundos captados em 2026 · multi-estágio</w:t>
            </w:r>
          </w:p>
          <w:p>
            <w:pPr>
              <w:spacing w:before="0" w:after="40"/>
            </w:pPr>
            <w:r>
              <w:rPr>
                <w:rFonts w:ascii="Arial" w:cs="Arial" w:eastAsia="Arial" w:hAnsi="Arial"/>
                <w:sz w:val="20"/>
                <w:szCs w:val="20"/>
              </w:rPr>
              <w:t xml:space="preserve">Tese: AI-first companies que resolvem problemas reais de negócio, não tecnologia em busca de aplicação. Foco em moats técnicos defendíveis com mercados massivos.</w:t>
            </w:r>
          </w:p>
          <w:p>
            <w:pPr>
              <w:spacing w:before="0" w:after="0"/>
            </w:pPr>
            <w:r>
              <w:rPr>
                <w:rFonts w:ascii="Arial" w:cs="Arial" w:eastAsia="Arial" w:hAnsi="Arial"/>
                <w:color w:val="555555"/>
                <w:sz w:val="20"/>
                <w:szCs w:val="20"/>
              </w:rPr>
              <w:t xml:space="preserve">Apostas em destaque: OpenAI, Mistral AI, Hippocratic AI (US$ 126M · saúde), Anysphere/Cursor (US$ 2,3bi · dev tools), Unconventional AI (US$ 475M · neuromorphic computing). Consumer AI Renaissance com cohort SR006 até abril 2026.</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20"/>
              <w:bottom w:type="dxa" w:w="120"/>
              <w:right w:type="dxa" w:w="220"/>
            </w:tcMar>
          </w:tcPr>
          <w:p>
            <w:pPr>
              <w:spacing w:before="0" w:after="60"/>
            </w:pPr>
            <w:r>
              <w:rPr>
                <w:rFonts w:ascii="Arial" w:cs="Arial" w:eastAsia="Arial" w:hAnsi="Arial"/>
                <w:b/>
                <w:bCs/>
                <w:color w:val="0D2B55"/>
                <w:sz w:val="26"/>
                <w:szCs w:val="26"/>
              </w:rPr>
              <w:t xml:space="preserve">Sequoia Capital</w:t>
            </w:r>
          </w:p>
          <w:p>
            <w:pPr>
              <w:spacing w:before="0" w:after="40"/>
            </w:pPr>
            <w:r>
              <w:rPr>
                <w:rFonts w:ascii="Arial" w:cs="Arial" w:eastAsia="Arial" w:hAnsi="Arial"/>
                <w:b/>
                <w:bCs/>
                <w:color w:val="1A4F99"/>
                <w:sz w:val="20"/>
                <w:szCs w:val="20"/>
              </w:rPr>
              <w:t xml:space="preserve">AUM / Foco: US$ 950M em novos fundos seed/venture em 2025 · global</w:t>
            </w:r>
          </w:p>
          <w:p>
            <w:pPr>
              <w:spacing w:before="0" w:after="40"/>
            </w:pPr>
            <w:r>
              <w:rPr>
                <w:rFonts w:ascii="Arial" w:cs="Arial" w:eastAsia="Arial" w:hAnsi="Arial"/>
                <w:sz w:val="20"/>
                <w:szCs w:val="20"/>
              </w:rPr>
              <w:t xml:space="preserve">Tese: 'Ato Dois' da revolução de IA — execução supera promessas, modelos sustentáveis vencem hype. Company Design philosophy aplicada à era de agentes.</w:t>
            </w:r>
          </w:p>
          <w:p>
            <w:pPr>
              <w:spacing w:before="0" w:after="0"/>
            </w:pPr>
            <w:r>
              <w:rPr>
                <w:rFonts w:ascii="Arial" w:cs="Arial" w:eastAsia="Arial" w:hAnsi="Arial"/>
                <w:color w:val="555555"/>
                <w:sz w:val="20"/>
                <w:szCs w:val="20"/>
              </w:rPr>
              <w:t xml:space="preserve">Apostas em destaque: Databricks (IPO Q1 2026 · US$ 4,5bi ARR), Klarna (IPO 2025), Kalshi (US$ 1bi · prediction markets), Stripe, DoorDash. Thesis: healthcare AI, fintech AI, infrastructure.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20"/>
              <w:bottom w:type="dxa" w:w="120"/>
              <w:right w:type="dxa" w:w="220"/>
            </w:tcMar>
          </w:tcPr>
          <w:p>
            <w:pPr>
              <w:spacing w:before="0" w:after="60"/>
            </w:pPr>
            <w:r>
              <w:rPr>
                <w:rFonts w:ascii="Arial" w:cs="Arial" w:eastAsia="Arial" w:hAnsi="Arial"/>
                <w:b/>
                <w:bCs/>
                <w:color w:val="0D2B55"/>
                <w:sz w:val="26"/>
                <w:szCs w:val="26"/>
              </w:rPr>
              <w:t xml:space="preserve">General Catalyst</w:t>
            </w:r>
          </w:p>
          <w:p>
            <w:pPr>
              <w:spacing w:before="0" w:after="40"/>
            </w:pPr>
            <w:r>
              <w:rPr>
                <w:rFonts w:ascii="Arial" w:cs="Arial" w:eastAsia="Arial" w:hAnsi="Arial"/>
                <w:b/>
                <w:bCs/>
                <w:color w:val="1A4F99"/>
                <w:sz w:val="20"/>
                <w:szCs w:val="20"/>
              </w:rPr>
              <w:t xml:space="preserve">AUM / Foco: Maior contagem de deals US$ 100M+ em 2025 (30 deals liderados)</w:t>
            </w:r>
          </w:p>
          <w:p>
            <w:pPr>
              <w:spacing w:before="0" w:after="40"/>
            </w:pPr>
            <w:r>
              <w:rPr>
                <w:rFonts w:ascii="Arial" w:cs="Arial" w:eastAsia="Arial" w:hAnsi="Arial"/>
                <w:sz w:val="20"/>
                <w:szCs w:val="20"/>
              </w:rPr>
              <w:t xml:space="preserve">Tese: Parceria de longo prazo com founders. Domain expertise profunda. Foco em saúde, fintech e enterprise software com IA embutida.</w:t>
            </w:r>
          </w:p>
          <w:p>
            <w:pPr>
              <w:spacing w:before="0" w:after="0"/>
            </w:pPr>
            <w:r>
              <w:rPr>
                <w:rFonts w:ascii="Arial" w:cs="Arial" w:eastAsia="Arial" w:hAnsi="Arial"/>
                <w:color w:val="555555"/>
                <w:sz w:val="20"/>
                <w:szCs w:val="20"/>
              </w:rPr>
              <w:t xml:space="preserve">Apostas em destaque: Hippocratic AI (co-liderou US$ 126M), portfolio diversificado em AI + biotech. HV Capital (braço europeu). Mais ativo em deals US$ 100M+ do que qualquer outra firma em 2025.</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20"/>
              <w:bottom w:type="dxa" w:w="120"/>
              <w:right w:type="dxa" w:w="220"/>
            </w:tcMar>
          </w:tcPr>
          <w:p>
            <w:pPr>
              <w:spacing w:before="0" w:after="60"/>
            </w:pPr>
            <w:r>
              <w:rPr>
                <w:rFonts w:ascii="Arial" w:cs="Arial" w:eastAsia="Arial" w:hAnsi="Arial"/>
                <w:b/>
                <w:bCs/>
                <w:color w:val="0D2B55"/>
                <w:sz w:val="26"/>
                <w:szCs w:val="26"/>
              </w:rPr>
              <w:t xml:space="preserve">SoftBank Vision Fund</w:t>
            </w:r>
          </w:p>
          <w:p>
            <w:pPr>
              <w:spacing w:before="0" w:after="40"/>
            </w:pPr>
            <w:r>
              <w:rPr>
                <w:rFonts w:ascii="Arial" w:cs="Arial" w:eastAsia="Arial" w:hAnsi="Arial"/>
                <w:b/>
                <w:bCs/>
                <w:color w:val="1A4F99"/>
                <w:sz w:val="20"/>
                <w:szCs w:val="20"/>
              </w:rPr>
              <w:t xml:space="preserve">AUM / Foco: Liderou o maior round da história · US$ 40bi na OpenAI</w:t>
            </w:r>
          </w:p>
          <w:p>
            <w:pPr>
              <w:spacing w:before="0" w:after="40"/>
            </w:pPr>
            <w:r>
              <w:rPr>
                <w:rFonts w:ascii="Arial" w:cs="Arial" w:eastAsia="Arial" w:hAnsi="Arial"/>
                <w:sz w:val="20"/>
                <w:szCs w:val="20"/>
              </w:rPr>
              <w:t xml:space="preserve">Tese: Apostas de magnitude civilizacional — tese de singularidade tecnológica. Concentração em líderes de categoria com potencial de domínio de mercado global.</w:t>
            </w:r>
          </w:p>
          <w:p>
            <w:pPr>
              <w:spacing w:before="0" w:after="0"/>
            </w:pPr>
            <w:r>
              <w:rPr>
                <w:rFonts w:ascii="Arial" w:cs="Arial" w:eastAsia="Arial" w:hAnsi="Arial"/>
                <w:color w:val="555555"/>
                <w:sz w:val="20"/>
                <w:szCs w:val="20"/>
              </w:rPr>
              <w:t xml:space="preserve">Apostas em destaque: OpenAI (US$ 40bi), investimentos em humanoid robotics e AGI infrastructure. Retorno ao protagonismo após anos de reestruturação pós-WeWork.</w:t>
            </w:r>
          </w:p>
        </w:tc>
      </w:tr>
    </w:tbl>
    <w:p>
      <w:pPr>
        <w:spacing w:before="140" w:after="0"/>
      </w:pPr>
    </w:p>
    <w:p>
      <w:r>
        <w:br w:type="page"/>
      </w:r>
    </w:p>
    <w:p>
      <w:pPr>
        <w:pStyle w:val="Heading1"/>
        <w:spacing w:before="400" w:after="120"/>
      </w:pPr>
      <w:r>
        <w:rPr>
          <w:rFonts w:ascii="Arial" w:cs="Arial" w:eastAsia="Arial" w:hAnsi="Arial"/>
          <w:b/>
          <w:bCs/>
          <w:color w:val="0D2B55"/>
          <w:sz w:val="40"/>
          <w:szCs w:val="40"/>
        </w:rPr>
        <w:t xml:space="preserve">Parte II — Y Combinator: O Termômetro do Futuro</w:t>
      </w:r>
    </w:p>
    <w:p>
      <w:pPr>
        <w:pStyle w:val="Heading2"/>
        <w:spacing w:before="280" w:after="80"/>
      </w:pPr>
      <w:r>
        <w:rPr>
          <w:rFonts w:ascii="Arial" w:cs="Arial" w:eastAsia="Arial" w:hAnsi="Arial"/>
          <w:b/>
          <w:bCs/>
          <w:color w:val="1A4F99"/>
          <w:sz w:val="28"/>
          <w:szCs w:val="28"/>
        </w:rPr>
        <w:t xml:space="preserve">2.1. A Transformação Mais Rápida da História do YC</w:t>
      </w:r>
    </w:p>
    <w:p>
      <w:pPr>
        <w:spacing w:before="80" w:after="80"/>
        <w:jc w:val="both"/>
      </w:pPr>
      <w:r>
        <w:rPr>
          <w:rFonts w:ascii="Arial" w:cs="Arial" w:eastAsia="Arial" w:hAnsi="Arial"/>
          <w:sz w:val="22"/>
          <w:szCs w:val="22"/>
        </w:rPr>
        <w:t xml:space="preserve">O Y Combinator é mais do que um acelerador: é o indicador de sentimento mais preciso e precoce do ecossistema de startups global. Quando o YC muda sua tese, o mercado muda dois a três anos depois. Por isso, a aceleração da transformação dos seus batches em direção à IA é o dado mais estratégico que existe sobre o futuro próximo da tecnologia.</w:t>
      </w:r>
    </w:p>
    <w:p>
      <w:pPr>
        <w:spacing w:before="80" w:after="80"/>
        <w:jc w:val="both"/>
      </w:pPr>
      <w:r>
        <w:rPr>
          <w:rFonts w:ascii="Arial" w:cs="Arial" w:eastAsia="Arial" w:hAnsi="Arial"/>
          <w:sz w:val="22"/>
          <w:szCs w:val="22"/>
        </w:rPr>
        <w:t xml:space="preserve">A trajetória é vertiginosa. No Winter 2024, mais de 50% das 260 empresas já usavam ou construíam IA. No Spring 2025, 50% dos 144 slots foram para soluções de IA agêntica — 70+ empresas em 18 categorias diferentes. No Summer 2025 (S25), 88% das 160 empresas foram classificadas como AI-native — a maior proporção da história do YC. Em Q3 2025, quase metade do batch era de agentes de IA. E no Spring 2026, os 8 temas do Request for Startups têm 7 com IA como fundação, e o 8º (metal mills) usa automação avançada. A evolução em 18 meses foi de 'IA está em tudo' para 'IA é a fundação, não uma feature'.</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Batch YC</w:t>
            </w:r>
          </w:p>
        </w:tc>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Composição e Tese Principal</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Winter 2024 (260 empresas)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50%+ integram IA · 162 empresas B2B · Início da virada agêntica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Spring 2025 (144 empresas)</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50% agentic AI · 70+ empresas de IA em 18 categorias · $2M median seed round</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Summer 2025 / S25 (160 empresas)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A61C00"/>
                <w:sz w:val="20"/>
                <w:szCs w:val="20"/>
              </w:rPr>
              <w:t xml:space="preserve">88% AI-native — recorde histórico · 80-85% B2B · 79% sede nos EUA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Receita nos batches (crescimento)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~10% semanal em média — Garry Tan, presidente do YC</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Enterprise contracts &gt;US$ 100K</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3 meses são suficientes para fechar — 'grande mudança vs. anos anteriores'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Median seed round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US$ 3,1M · Healthcare startups: US$ 4,6M (dev cycles mais longos)</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Top 5-10% do batch (valuation seed)</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US$ 20-25M post-money com US$ 150K-US$ 500K ARR</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Investimento YC em fintech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A61C00"/>
                <w:sz w:val="20"/>
                <w:szCs w:val="20"/>
              </w:rPr>
              <w:t xml:space="preserve">100 deals fintech até setembro — +65,4% vs 2024 inteiro</w:t>
            </w:r>
          </w:p>
        </w:tc>
      </w:tr>
    </w:tbl>
    <w:p>
      <w:pPr>
        <w:spacing w:before="120" w:after="0"/>
      </w:pPr>
    </w:p>
    <w:p>
      <w:pPr>
        <w:pStyle w:val="Heading2"/>
        <w:spacing w:before="280" w:after="80"/>
      </w:pPr>
      <w:r>
        <w:rPr>
          <w:rFonts w:ascii="Arial" w:cs="Arial" w:eastAsia="Arial" w:hAnsi="Arial"/>
          <w:b/>
          <w:bCs/>
          <w:color w:val="1A4F99"/>
          <w:sz w:val="28"/>
          <w:szCs w:val="28"/>
        </w:rPr>
        <w:t xml:space="preserve">2.2. O Request for Startups Spring 2026 — A Carta de Intenções do Futuro</w:t>
      </w:r>
    </w:p>
    <w:p>
      <w:pPr>
        <w:spacing w:before="80" w:after="80"/>
        <w:jc w:val="both"/>
      </w:pPr>
      <w:r>
        <w:rPr>
          <w:rFonts w:ascii="Arial" w:cs="Arial" w:eastAsia="Arial" w:hAnsi="Arial"/>
          <w:sz w:val="22"/>
          <w:szCs w:val="22"/>
        </w:rPr>
        <w:t xml:space="preserve">O Request for Startups (RFS) do YC é mais do que uma lista de desejos: é uma declaração pública de onde os agentes mais bem informados do ecossistema acreditam que existem mercados grandes e subatendidos. Interpretar o RFS corretamente é ler o mapa do capital dos próximos 3-5 anos.</w:t>
      </w:r>
    </w:p>
    <w:p>
      <w:pPr>
        <w:spacing w:before="80" w:after="80"/>
        <w:jc w:val="both"/>
      </w:pPr>
      <w:r>
        <w:rPr>
          <w:rFonts w:ascii="Arial" w:cs="Arial" w:eastAsia="Arial" w:hAnsi="Arial"/>
          <w:sz w:val="22"/>
          <w:szCs w:val="22"/>
        </w:rPr>
        <w:t xml:space="preserve">O RFS Spring 2026 apresenta 8 categorias que, lidas em conjunto, revelam uma tese coesa: a IA deixou de ser suficiente como ferramenta de produtividade individual e está sendo direcionada para dois movimentos simultâneos — para cima (decisão estratégica, inteligência financeira, produto) e para fora (governo, indústrias físicas, trabalho manual). O ponto cego que o YC está tentando atacar é exatamente onde a IA ainda não chegou: nos processos de decisão de alto nível e nos setores que nunca foram digitalizados.</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Categoria RFS Spring 2026</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O que o YC Quer Ver</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Por que é Relevante Estrategicamente</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Cursor para Product Managers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IA que ajuda equipes a decidir o que construir — síntese de feedback de usuários, proposta de features, product discovery automatizado</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O gargalo real do desenvolvimento de software mudou: não é mais codificar, é saber o que codificar. Mercado enorme e subatendido.</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1A4F99"/>
                <w:sz w:val="20"/>
                <w:szCs w:val="20"/>
              </w:rPr>
              <w:t xml:space="preserve">Hedge Funds AI-Native</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Fundos de nova geração usando enxames de agentes IA para análise de SEC filings, earnings calls e síntese de sinais de mercado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Analogia com quant trading dos anos 1980: parecia absurdo, tornou-se dominante. Alpha novo para quem entrar agora.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Agências AI-Native</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Agências (design, publicidade, law, marketing) que operam com margens de software usando IA para entregar o trabalho — não apenas vender ferramentas para clientes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Destruição criativa dos modelos de agência tradicionais baseados em hora/pessoa. Quem automatizar a entrega terá margens de 60-80%.</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Stablecoin Financial Services</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Serviços financeiros compliance com DeFi e TradFi integrados via stablecoins — contas com yield, infraestrutura cross-border</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GENIUS e CLARITY Acts abrindo janela regulatória nos EUA. Stablecoins resolvem fricção de pagamentos globais ainda não resolvida pelo sistema bancário.</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1A4F99"/>
                <w:sz w:val="20"/>
                <w:szCs w:val="20"/>
              </w:rPr>
              <w:t xml:space="preserve">IA para Governo</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Ferramentas de IA para agências governamentais processarem o influxo de dados e solicitações — clientes 'sticky' com contratos grandes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O governo é o cliente mais retentivo do mundo. Quem resolve o problema de modernização do setor público captura contratos plurianuais e inflexíveis.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Metal Mills Modernos</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Redesenho de produção de metal e manufatura pesada com automação e software — setor nunca modernizado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Setor de US$ trilhões absolutamente não tocado pela revolução digital. A oportunidade 'boring tech' mais óbvia da lista.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1A4F99"/>
                <w:sz w:val="20"/>
                <w:szCs w:val="20"/>
              </w:rPr>
              <w:t xml:space="preserve">IA para Trabalho Físico</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Sistemas multimodais e wearables (óculos inteligentes) para coaching em tempo real de trabalhadores em campo — saúde, manufatura, construção</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Requalificação instantânea da força de trabalho. Endereça simultâneo o gap de skills e o shortage de trabalhadores especializados.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Large Spatial Models</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Modelos de IA que raciocinam sobre espaço físico — robótica, planejamento urbano, arquitetura, logística</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A próxima fronteira após LLMs: inteligência que entende o mundo físico tridimensional, não apenas texto e imagem.</w:t>
            </w:r>
          </w:p>
        </w:tc>
      </w:tr>
    </w:tbl>
    <w:p>
      <w:pPr>
        <w:spacing w:before="140" w:after="0"/>
      </w:pPr>
    </w:p>
    <w:p>
      <w:r>
        <w:br w:type="page"/>
      </w:r>
    </w:p>
    <w:p>
      <w:pPr>
        <w:pStyle w:val="Heading1"/>
        <w:spacing w:before="400" w:after="120"/>
      </w:pPr>
      <w:r>
        <w:rPr>
          <w:rFonts w:ascii="Arial" w:cs="Arial" w:eastAsia="Arial" w:hAnsi="Arial"/>
          <w:b/>
          <w:bCs/>
          <w:color w:val="0D2B55"/>
          <w:sz w:val="40"/>
          <w:szCs w:val="40"/>
        </w:rPr>
        <w:t xml:space="preserve">Parte III — A Anatomia do Novo Ecossistema de Startups</w:t>
      </w:r>
    </w:p>
    <w:p>
      <w:pPr>
        <w:pStyle w:val="Heading2"/>
        <w:spacing w:before="280" w:after="80"/>
      </w:pPr>
      <w:r>
        <w:rPr>
          <w:rFonts w:ascii="Arial" w:cs="Arial" w:eastAsia="Arial" w:hAnsi="Arial"/>
          <w:b/>
          <w:bCs/>
          <w:color w:val="1A4F99"/>
          <w:sz w:val="28"/>
          <w:szCs w:val="28"/>
        </w:rPr>
        <w:t xml:space="preserve">3.1. As Três Camadas da Nova Economia de IA</w:t>
      </w:r>
    </w:p>
    <w:p>
      <w:pPr>
        <w:spacing w:before="80" w:after="80"/>
        <w:jc w:val="both"/>
      </w:pPr>
      <w:r>
        <w:rPr>
          <w:rFonts w:ascii="Arial" w:cs="Arial" w:eastAsia="Arial" w:hAnsi="Arial"/>
          <w:sz w:val="22"/>
          <w:szCs w:val="22"/>
        </w:rPr>
        <w:t xml:space="preserve">O ecossistema de startups de IA de 2025-2026 pode ser mapeado em três camadas distintas com dinâmicas de investimento, competição e retorno radicalmente diferentes. Compreender em qual camada uma startup se situa é o passo zero de qualquer análise estratégica ou decisão de investimento.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FDF6E3" w:val="clear"/>
            <w:tcMar>
              <w:top w:type="dxa" w:w="120"/>
              <w:left w:type="dxa" w:w="180"/>
              <w:bottom w:type="dxa" w:w="120"/>
              <w:right w:type="dxa" w:w="100"/>
            </w:tcMar>
          </w:tcPr>
          <w:p>
            <w:pPr>
              <w:spacing w:before="0" w:after="60"/>
            </w:pPr>
            <w:r>
              <w:rPr>
                <w:rFonts w:ascii="Arial" w:cs="Arial" w:eastAsia="Arial" w:hAnsi="Arial"/>
                <w:b/>
                <w:bCs/>
                <w:color w:val="C8860A"/>
                <w:sz w:val="20"/>
                <w:szCs w:val="20"/>
              </w:rPr>
              <w:t xml:space="preserve">Camada 1 — Fundação (Foundation Models)</w:t>
            </w:r>
          </w:p>
          <w:p>
            <w:pPr>
              <w:spacing w:before="0" w:after="0"/>
              <w:jc w:val="both"/>
            </w:pPr>
            <w:r>
              <w:rPr>
                <w:rFonts w:ascii="Arial" w:cs="Arial" w:eastAsia="Arial" w:hAnsi="Arial"/>
                <w:sz w:val="20"/>
                <w:szCs w:val="20"/>
              </w:rPr>
              <w:t xml:space="preserve">OpenAI, Anthropic, xAI, Mistral, DeepSeek, Meta AI. Capturam a maior parte do capital (61% do funding de IA). Competição por compute, talento e dados. Barreiras de entrada altíssimas. Concentração oligopolística provável. Vencedores já identificáveis — a batalha agora é por quem entra no grupo dos 3-5 sobreviventes.</w:t>
            </w:r>
          </w:p>
        </w:tc>
        <w:tc>
          <w:tcPr>
            <w:tcW w:type="dxa" w:w="4740"/>
            <w:tcBorders>
              <w:top w:val="none" w:color="FFFFFF" w:sz="0"/>
              <w:left w:val="none" w:color="FFFFFF" w:sz="0"/>
              <w:bottom w:val="none" w:color="FFFFFF" w:sz="0"/>
              <w:right w:val="none" w:color="FFFFFF" w:sz="0"/>
            </w:tcBorders>
            <w:shd w:fill="E3F0FD" w:val="clear"/>
            <w:tcMar>
              <w:top w:type="dxa" w:w="120"/>
              <w:left w:type="dxa" w:w="180"/>
              <w:bottom w:type="dxa" w:w="120"/>
              <w:right w:type="dxa" w:w="100"/>
            </w:tcMar>
          </w:tcPr>
          <w:p>
            <w:pPr>
              <w:spacing w:before="0" w:after="60"/>
            </w:pPr>
            <w:r>
              <w:rPr>
                <w:rFonts w:ascii="Arial" w:cs="Arial" w:eastAsia="Arial" w:hAnsi="Arial"/>
                <w:b/>
                <w:bCs/>
                <w:color w:val="1B5E20"/>
                <w:sz w:val="20"/>
                <w:szCs w:val="20"/>
              </w:rPr>
              <w:t xml:space="preserve">Camada 2 — Infraestrutura e Plataforma</w:t>
            </w:r>
          </w:p>
          <w:p>
            <w:pPr>
              <w:spacing w:before="0" w:after="0"/>
              <w:jc w:val="both"/>
            </w:pPr>
            <w:r>
              <w:rPr>
                <w:rFonts w:ascii="Arial" w:cs="Arial" w:eastAsia="Arial" w:hAnsi="Arial"/>
                <w:sz w:val="20"/>
                <w:szCs w:val="20"/>
              </w:rPr>
              <w:t xml:space="preserve">Cursor/Anysphere (US$ 2,3bi), Databricks (US$ 4,5bi ARR), CoreWeave, Scale AI, ElevenLabs, Synthesia. Constroem a 'picks and shovels' da corrida do ouro de IA. Margens mais sãs que a Camada 1. IPOs iminentes. Modelo de negócio mais defensável por lock-in de dados e infraestrutura.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30"/>
              <w:bottom w:type="dxa" w:w="140"/>
              <w:right w:type="dxa" w:w="230"/>
            </w:tcMar>
          </w:tcPr>
          <w:p>
            <w:pPr>
              <w:spacing w:before="0" w:after="60"/>
            </w:pPr>
            <w:r>
              <w:rPr>
                <w:rFonts w:ascii="Arial" w:cs="Arial" w:eastAsia="Arial" w:hAnsi="Arial"/>
                <w:b/>
                <w:bCs/>
                <w:color w:val="1B5E20"/>
                <w:sz w:val="22"/>
                <w:szCs w:val="22"/>
              </w:rPr>
              <w:t xml:space="preserve">Camada 3 — Aplicação Vertical (o maior mercado, ainda subexplorado)</w:t>
            </w:r>
          </w:p>
          <w:p>
            <w:pPr>
              <w:spacing w:before="0" w:after="0"/>
              <w:jc w:val="both"/>
            </w:pPr>
            <w:r>
              <w:rPr>
                <w:rFonts w:ascii="Arial" w:cs="Arial" w:eastAsia="Arial" w:hAnsi="Arial"/>
                <w:sz w:val="22"/>
                <w:szCs w:val="22"/>
              </w:rPr>
              <w:t xml:space="preserve">Onde vivem 88% das startups do YC S25 e a maioria dos rounds de Series A e B. Startups que usam modelos fundacionais para resolver problemas específicos de indústria: Hippocratic AI (saúde), Aemon (R&amp;D de engenharia), qomplement (documentos empresariais), Robby (serviços domésticos), Emergent (coding agents). O enterprise AI revenue atingiu US$ 37 bilhões em 2025 — alta de 3x em um ano. Essa camada ainda está nos primeiros innings de sua curva S.</w:t>
            </w:r>
          </w:p>
        </w:tc>
      </w:tr>
    </w:tbl>
    <w:p>
      <w:pPr>
        <w:spacing w:before="140" w:after="0"/>
      </w:pPr>
    </w:p>
    <w:p>
      <w:pPr>
        <w:pStyle w:val="Heading2"/>
        <w:spacing w:before="280" w:after="80"/>
      </w:pPr>
      <w:r>
        <w:rPr>
          <w:rFonts w:ascii="Arial" w:cs="Arial" w:eastAsia="Arial" w:hAnsi="Arial"/>
          <w:b/>
          <w:bCs/>
          <w:color w:val="1A4F99"/>
          <w:sz w:val="28"/>
          <w:szCs w:val="28"/>
        </w:rPr>
        <w:t xml:space="preserve">3.2. O Novo Perfil do Fundador e da Empresa</w:t>
      </w:r>
    </w:p>
    <w:p>
      <w:pPr>
        <w:spacing w:before="80" w:after="80"/>
        <w:jc w:val="both"/>
      </w:pPr>
      <w:r>
        <w:rPr>
          <w:rFonts w:ascii="Arial" w:cs="Arial" w:eastAsia="Arial" w:hAnsi="Arial"/>
          <w:sz w:val="22"/>
          <w:szCs w:val="22"/>
        </w:rPr>
        <w:t xml:space="preserve">A aceleração trazida pelas ferramentas de IA mudou radicalmente o perfil das startups que chegam ao YC e a outros aceleradores. Garry Tan, presidente do YC, declarou que em 2025 três meses são suficientes para fechar contratos enterprise acima de US$ 100 mil — algo que antes levava 18 a 24 meses para atingir um ARR equivalente. Isso não é hipérbole: é o efeito composto de IA na velocidade de construção, venda e iteração de produto.</w:t>
      </w:r>
    </w:p>
    <w:p>
      <w:pPr>
        <w:spacing w:before="80" w:after="80"/>
        <w:jc w:val="both"/>
      </w:pPr>
      <w:r>
        <w:rPr>
          <w:rFonts w:ascii="Arial" w:cs="Arial" w:eastAsia="Arial" w:hAnsi="Arial"/>
          <w:sz w:val="22"/>
          <w:szCs w:val="22"/>
        </w:rPr>
        <w:t xml:space="preserve">O resultado prático é uma nova geração de empresas que escalam em semanas, não em anos. A Lovable (Estocolmo) tornou-se unicórnio 8 meses após o lançamento — US$ 200M de Series A a US$ 1,8 bilhão de valuation. A Emergent chegou a US$ 50M de ARR em 7 meses. A ElevenLabs (voice AI) dobrou a receita em 9 meses, atingindo US$ 200M de ARR. Esses não são outliers: são o novo benchmark de referência para startups AI-native.</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40"/>
              <w:left w:type="dxa" w:w="230"/>
              <w:bottom w:type="dxa" w:w="140"/>
              <w:right w:type="dxa" w:w="230"/>
            </w:tcMar>
          </w:tcPr>
          <w:p>
            <w:pPr>
              <w:spacing w:before="0" w:after="60"/>
            </w:pPr>
            <w:r>
              <w:rPr>
                <w:rFonts w:ascii="Arial" w:cs="Arial" w:eastAsia="Arial" w:hAnsi="Arial"/>
                <w:b/>
                <w:bCs/>
                <w:color w:val="C8860A"/>
                <w:sz w:val="22"/>
                <w:szCs w:val="22"/>
              </w:rPr>
              <w:t xml:space="preserve">O Fenômeno 'Vibe Coding' e o Fundador de Um</w:t>
            </w:r>
          </w:p>
          <w:p>
            <w:pPr>
              <w:spacing w:before="0" w:after="0"/>
              <w:jc w:val="both"/>
            </w:pPr>
            <w:r>
              <w:rPr>
                <w:rFonts w:ascii="Arial" w:cs="Arial" w:eastAsia="Arial" w:hAnsi="Arial"/>
                <w:sz w:val="22"/>
                <w:szCs w:val="22"/>
              </w:rPr>
              <w:t xml:space="preserve">O 'vibe coding' — uso de linguagem natural para gerar código — foi eleito a Palavra do Ano de 2025 pelo Collins Dictionary. Ferramentas como Cursor, Lovable e Claude Code tornaram possível que um único fundador construa um MVP funcional em dias, feche os primeiros clientes em semanas e levante seed em meses. O YC Spring 2026 RFS foi escrito explicitamente para 'solo founders e vibe coders'. Isso representa uma democratização sem precedente da criação de startups — e uma aceleração exponencial da competição em qualquer categoria de software.</w:t>
            </w:r>
          </w:p>
        </w:tc>
      </w:tr>
    </w:tbl>
    <w:p>
      <w:pPr>
        <w:spacing w:before="140" w:after="0"/>
      </w:pPr>
    </w:p>
    <w:p>
      <w:pPr>
        <w:pStyle w:val="Heading2"/>
        <w:spacing w:before="280" w:after="80"/>
      </w:pPr>
      <w:r>
        <w:rPr>
          <w:rFonts w:ascii="Arial" w:cs="Arial" w:eastAsia="Arial" w:hAnsi="Arial"/>
          <w:b/>
          <w:bCs/>
          <w:color w:val="1A4F99"/>
          <w:sz w:val="28"/>
          <w:szCs w:val="28"/>
        </w:rPr>
        <w:t xml:space="preserve">3.3. A Bifurcação do Capital — Mega-Rounds vs. Seed Starved</w:t>
      </w:r>
    </w:p>
    <w:p>
      <w:pPr>
        <w:spacing w:before="80" w:after="80"/>
        <w:jc w:val="both"/>
      </w:pPr>
      <w:r>
        <w:rPr>
          <w:rFonts w:ascii="Arial" w:cs="Arial" w:eastAsia="Arial" w:hAnsi="Arial"/>
          <w:sz w:val="22"/>
          <w:szCs w:val="22"/>
        </w:rPr>
        <w:t xml:space="preserve">A estrutura do mercado de VC criou uma bifurcação que é o risco sistêmico mais relevante do período. De um lado, megarounds bilionários para os líderes de categoria já estabelecidos (30% do capital global foi para 18 empresas em Q3 2025). Do outro, um mercado seed relativamente ativo mas com menos capital disponível por empresa, à medida que os fundos generalistas migram seu capital para growth e para AI megarounds.</w:t>
      </w:r>
    </w:p>
    <w:p>
      <w:pPr>
        <w:spacing w:before="80" w:after="80"/>
        <w:jc w:val="both"/>
      </w:pPr>
      <w:r>
        <w:rPr>
          <w:rFonts w:ascii="Arial" w:cs="Arial" w:eastAsia="Arial" w:hAnsi="Arial"/>
          <w:sz w:val="22"/>
          <w:szCs w:val="22"/>
        </w:rPr>
        <w:t xml:space="preserve">As consequências para fundadores em diferentes estágios são significativas. Nos rounds seed e Series A, o volume de deals é saudável, mas a seletividade aumentou: investidores querem ver tracção real — revenue, growth rate, retention — onde antes aceitavam potencial. Nos rounds Series B+ fora de AI, a seca é real: apenas empresas com alavancagem de IA clara e demonstrada conseguem valorizações competitivas. Para fundadores em setores não-AI, a mensagem é inequívoca: ou você embute IA no seu produto de forma que crie vantagem real, ou você compete em desvantagem de valuation permanente.</w:t>
      </w:r>
    </w:p>
    <w:p>
      <w:pPr>
        <w:spacing w:before="140" w:after="0"/>
      </w:pPr>
    </w:p>
    <w:p>
      <w:r>
        <w:br w:type="page"/>
      </w:r>
    </w:p>
    <w:p>
      <w:pPr>
        <w:pStyle w:val="Heading1"/>
        <w:spacing w:before="400" w:after="120"/>
      </w:pPr>
      <w:r>
        <w:rPr>
          <w:rFonts w:ascii="Arial" w:cs="Arial" w:eastAsia="Arial" w:hAnsi="Arial"/>
          <w:b/>
          <w:bCs/>
          <w:color w:val="0D2B55"/>
          <w:sz w:val="40"/>
          <w:szCs w:val="40"/>
        </w:rPr>
        <w:t xml:space="preserve">Parte IV — Os Grandes Alvos de Capital: Onde o Dinheiro Vai</w:t>
      </w:r>
    </w:p>
    <w:p>
      <w:pPr>
        <w:pStyle w:val="Heading2"/>
        <w:spacing w:before="280" w:after="80"/>
      </w:pPr>
      <w:r>
        <w:rPr>
          <w:rFonts w:ascii="Arial" w:cs="Arial" w:eastAsia="Arial" w:hAnsi="Arial"/>
          <w:b/>
          <w:bCs/>
          <w:color w:val="1A4F99"/>
          <w:sz w:val="28"/>
          <w:szCs w:val="28"/>
        </w:rPr>
        <w:t xml:space="preserve">4.1. Robótica e Inteligência Física — A Nova Fronteira</w:t>
      </w:r>
    </w:p>
    <w:p>
      <w:pPr>
        <w:spacing w:before="80" w:after="80"/>
        <w:jc w:val="both"/>
      </w:pPr>
      <w:r>
        <w:rPr>
          <w:rFonts w:ascii="Arial" w:cs="Arial" w:eastAsia="Arial" w:hAnsi="Arial"/>
          <w:sz w:val="22"/>
          <w:szCs w:val="22"/>
        </w:rPr>
        <w:t xml:space="preserve">O fenômeno mais revelador do segundo semestre de 2025 não foi nos modelos de linguagem — foi na robótica. O Project Prometheus de Jeff Bezos levantou US$ 6,2 bilhões em seu primeiro round de captação, tornando-se o maior seed de robótica/inteligência física da história. A Figure AI fechou um acordo com a Amazon validando viabilidade comercial para humanoid robots. A Apptronik levantou US$ 520 milhões em extensão de rodada. O PsiQuantum (computação quântica) levantou a rodada de um bilhão.</w:t>
      </w:r>
    </w:p>
    <w:p>
      <w:pPr>
        <w:spacing w:before="80" w:after="80"/>
        <w:jc w:val="both"/>
      </w:pPr>
      <w:r>
        <w:rPr>
          <w:rFonts w:ascii="Arial" w:cs="Arial" w:eastAsia="Arial" w:hAnsi="Arial"/>
          <w:sz w:val="22"/>
          <w:szCs w:val="22"/>
        </w:rPr>
        <w:t xml:space="preserve">O investimento em espaço e satélites atingiu US$ 12 bilhões — recorde histórico. Hardware e deep tech foram o segundo maior setor de venture em Q3 2025 (US$ 16,2 bilhões). O padrão é claro: após anos de investimento em software puro, o capital está migrando para o mundo físico — robótica, energia, manufatura avançada, chips especializados. A hipótese subjacente é que a IA de linguagem está se tornando commodity rapidamente, e o próximo diferencial será a IA que interage com o mundo material.</w:t>
      </w:r>
    </w:p>
    <w:p>
      <w:pPr>
        <w:spacing w:before="140" w:after="0"/>
      </w:pPr>
    </w:p>
    <w:p>
      <w:pPr>
        <w:pStyle w:val="Heading2"/>
        <w:spacing w:before="280" w:after="80"/>
      </w:pPr>
      <w:r>
        <w:rPr>
          <w:rFonts w:ascii="Arial" w:cs="Arial" w:eastAsia="Arial" w:hAnsi="Arial"/>
          <w:b/>
          <w:bCs/>
          <w:color w:val="1A4F99"/>
          <w:sz w:val="28"/>
          <w:szCs w:val="28"/>
        </w:rPr>
        <w:t xml:space="preserve">4.2. Healthcare e Biotech — O Maior Mercado Ainda por Transformar</w:t>
      </w:r>
    </w:p>
    <w:p>
      <w:pPr>
        <w:spacing w:before="80" w:after="80"/>
        <w:jc w:val="both"/>
      </w:pPr>
      <w:r>
        <w:rPr>
          <w:rFonts w:ascii="Arial" w:cs="Arial" w:eastAsia="Arial" w:hAnsi="Arial"/>
          <w:sz w:val="22"/>
          <w:szCs w:val="22"/>
        </w:rPr>
        <w:t xml:space="preserve">A saúde permanece o setor com as maiores oportunidades e as maiores fricções regulatórias. No YC S25, healthcare e biotech formaram um cluster significativo, com median seed round de US$ 4,6 milhões — 48% acima da média geral de US$ 3,1M. Startups como Hippocratic AI (US$ 126M de Series C para LLMs de saúde com foco em segurança), Anto (modelo fundacional para microbiomas intestinais — primeiro modelo computável do microbioma humano) e diversas ferramentas para EHR (Electronic Health Records) automatizados capturam a visão central: o maior sistema de informação do mundo — a saúde humana — ainda está essencialmente não digitalizado de forma inteligente.</w:t>
      </w:r>
    </w:p>
    <w:p>
      <w:pPr>
        <w:spacing w:before="80" w:after="80"/>
        <w:jc w:val="both"/>
      </w:pPr>
      <w:r>
        <w:rPr>
          <w:rFonts w:ascii="Arial" w:cs="Arial" w:eastAsia="Arial" w:hAnsi="Arial"/>
          <w:sz w:val="22"/>
          <w:szCs w:val="22"/>
        </w:rPr>
        <w:t xml:space="preserve">O impacto dos medicamentos GLP-1 cria uma nova camada de oportunidade para startups: monitoramento de usuários em tratamento, formulação alimentar adaptada, suporte psicológico ao processo de emagrecimento e integração de dados biométricos com recomendações de estilo de vida. A Euromonitor estima que o mercado de saúde digital global supere US$ 600 bilhões até 2030.</w:t>
      </w:r>
    </w:p>
    <w:p>
      <w:pPr>
        <w:spacing w:before="140" w:after="0"/>
      </w:pPr>
    </w:p>
    <w:p>
      <w:pPr>
        <w:pStyle w:val="Heading2"/>
        <w:spacing w:before="280" w:after="80"/>
      </w:pPr>
      <w:r>
        <w:rPr>
          <w:rFonts w:ascii="Arial" w:cs="Arial" w:eastAsia="Arial" w:hAnsi="Arial"/>
          <w:b/>
          <w:bCs/>
          <w:color w:val="1A4F99"/>
          <w:sz w:val="28"/>
          <w:szCs w:val="28"/>
        </w:rPr>
        <w:t xml:space="preserve">4.3. Fintech e Stablecoins — O Segundo Ato</w:t>
      </w:r>
    </w:p>
    <w:p>
      <w:pPr>
        <w:spacing w:before="80" w:after="80"/>
        <w:jc w:val="both"/>
      </w:pPr>
      <w:r>
        <w:rPr>
          <w:rFonts w:ascii="Arial" w:cs="Arial" w:eastAsia="Arial" w:hAnsi="Arial"/>
          <w:sz w:val="22"/>
          <w:szCs w:val="22"/>
        </w:rPr>
        <w:t xml:space="preserve">O fintech global recuperou força em 2025, com investimentos globais crescendo 21% para US$ 53 bilhões. O YC aumentou sua participação em fintech 65,4% entre 2024 e setembro de 2025. A tese dominante não é mais fintech de consumo (neobancos), mas fintech de infraestrutura: plataformas de compliance, infraestrutura de pagamentos, gestão de despesas empresariais e, crescentemente, stablecoins como primitivo financeiro.</w:t>
      </w:r>
    </w:p>
    <w:p>
      <w:pPr>
        <w:spacing w:before="80" w:after="80"/>
        <w:jc w:val="both"/>
      </w:pPr>
      <w:r>
        <w:rPr>
          <w:rFonts w:ascii="Arial" w:cs="Arial" w:eastAsia="Arial" w:hAnsi="Arial"/>
          <w:sz w:val="22"/>
          <w:szCs w:val="22"/>
        </w:rPr>
        <w:t xml:space="preserve">Os GENIUS e CLARITY Acts nos EUA abriram uma janela regulatória para stablecoins que o YC identificou explicitamente como oportunidade. A premissa é que stablecoins resolvem problemas que o sistema bancário tradicional não resolveu em décadas: pagamentos cross-border baratos, acesso a yield em economias com moedas instáveis, programabilidade de dinheiro. A Kalshi (prediction markets) levantou US$ 1 bilhão liderado por Sequoia e CapitalG — sinalizando que mercados de eventos e apostas financeiras são a próxima fronteira do fintech.</w:t>
      </w:r>
    </w:p>
    <w:p>
      <w:pPr>
        <w:spacing w:before="140" w:after="0"/>
      </w:pPr>
    </w:p>
    <w:p>
      <w:pPr>
        <w:pStyle w:val="Heading2"/>
        <w:spacing w:before="280" w:after="80"/>
      </w:pPr>
      <w:r>
        <w:rPr>
          <w:rFonts w:ascii="Arial" w:cs="Arial" w:eastAsia="Arial" w:hAnsi="Arial"/>
          <w:b/>
          <w:bCs/>
          <w:color w:val="1A4F99"/>
          <w:sz w:val="28"/>
          <w:szCs w:val="28"/>
        </w:rPr>
        <w:t xml:space="preserve">4.4. Defense Tech e GovTech — O Capital Soberano Entra</w:t>
      </w:r>
    </w:p>
    <w:p>
      <w:pPr>
        <w:spacing w:before="80" w:after="80"/>
        <w:jc w:val="both"/>
      </w:pPr>
      <w:r>
        <w:rPr>
          <w:rFonts w:ascii="Arial" w:cs="Arial" w:eastAsia="Arial" w:hAnsi="Arial"/>
          <w:sz w:val="22"/>
          <w:szCs w:val="22"/>
        </w:rPr>
        <w:t xml:space="preserve">Um dos movimentos mais significativos e menos comentados do período é a explosão do investimento em defense tech e govtech. O espaço e satélites atingiram US$ 12 bilhões em 2025. A Europa captou recorde de US$ 1,5 bilhão para defense tech — ainda atrás dos EUA em volume, mas em aceleração. O YC incluiu 'AI for Government' explicitamente no RFS Spring 2026, reconhecendo que o governo é o cliente mais retentivo e de maior ticket do ecossistema.</w:t>
      </w:r>
    </w:p>
    <w:p>
      <w:pPr>
        <w:spacing w:before="80" w:after="80"/>
        <w:jc w:val="both"/>
      </w:pPr>
      <w:r>
        <w:rPr>
          <w:rFonts w:ascii="Arial" w:cs="Arial" w:eastAsia="Arial" w:hAnsi="Arial"/>
          <w:sz w:val="22"/>
          <w:szCs w:val="22"/>
        </w:rPr>
        <w:t xml:space="preserve">A lógica estratégica por trás desse movimento é geopolítica: governos perceberam que perder a corrida da IA para setores privados de países adversários representa risco de segurança existencial. O resultado é uma mobilização de capital soberano sem precedente — US$ 62 bilhões da China, US$ 52 bilhões dos EUA, €7,4 bilhões da UE — que compete com e complementa o capital privado. Para startups, isso cria oportunidades de contratos plurianuais, mas também riscos de over-dependência em clientes governamentais e complexidade regulatória.</w:t>
      </w:r>
    </w:p>
    <w:p>
      <w:pPr>
        <w:spacing w:before="140" w:after="0"/>
      </w:pPr>
    </w:p>
    <w:p>
      <w:r>
        <w:br w:type="page"/>
      </w:r>
    </w:p>
    <w:p>
      <w:pPr>
        <w:pStyle w:val="Heading1"/>
        <w:spacing w:before="400" w:after="120"/>
      </w:pPr>
      <w:r>
        <w:rPr>
          <w:rFonts w:ascii="Arial" w:cs="Arial" w:eastAsia="Arial" w:hAnsi="Arial"/>
          <w:b/>
          <w:bCs/>
          <w:color w:val="0D2B55"/>
          <w:sz w:val="40"/>
          <w:szCs w:val="40"/>
        </w:rPr>
        <w:t xml:space="preserve">Parte V — Os Seis Vetores que Definirão 2026-2030</w:t>
      </w:r>
    </w:p>
    <w:p>
      <w:pPr>
        <w:spacing w:before="80" w:after="80"/>
        <w:jc w:val="both"/>
      </w:pPr>
      <w:r>
        <w:rPr>
          <w:rFonts w:ascii="Arial" w:cs="Arial" w:eastAsia="Arial" w:hAnsi="Arial"/>
          <w:sz w:val="22"/>
          <w:szCs w:val="22"/>
        </w:rPr>
        <w:t xml:space="preserve">Além do ruído de curto prazo dos rounds e valuations, seis vetores estruturais emergem da análise integrada do ecossistema de startups, fundos e tecnologia. São eles as apostas de longo prazo sobre quais forças moldarão a próxima geração de negócios, comportamentos e mercados.</w:t>
      </w:r>
    </w:p>
    <w:p>
      <w:pPr>
        <w:spacing w:before="80" w:after="0"/>
      </w:pPr>
    </w:p>
    <w:p>
      <w:pPr>
        <w:spacing w:before="220" w:after="60"/>
      </w:pPr>
      <w:r>
        <w:rPr>
          <w:rFonts w:ascii="Arial" w:cs="Arial" w:eastAsia="Arial" w:hAnsi="Arial"/>
          <w:b/>
          <w:bCs/>
          <w:color w:val="C8860A"/>
          <w:sz w:val="24"/>
          <w:szCs w:val="24"/>
        </w:rPr>
        <w:t xml:space="preserve">Vetor 1 — A Comoditização dos Modelos e a Corrida para Cima</w:t>
      </w:r>
    </w:p>
    <w:p>
      <w:pPr>
        <w:spacing w:before="80" w:after="80"/>
        <w:jc w:val="both"/>
      </w:pPr>
      <w:r>
        <w:rPr>
          <w:rFonts w:ascii="Arial" w:cs="Arial" w:eastAsia="Arial" w:hAnsi="Arial"/>
          <w:sz w:val="22"/>
          <w:szCs w:val="22"/>
        </w:rPr>
        <w:t xml:space="preserve">Os modelos fundacionais de linguagem estão se tornando commodity mais rapidamente do que a maioria dos analistas previu. O DeepSeek demonstrou que modelos de alto desempenho podem ser construídos a uma fração do custo anterior. Isso empurra o valor em duas direções: para cima, em direção a dados proprietários e casos de uso específicos que exigem fine-tuning; e para baixo, em direção à eficiência de inferência e edge computing. A batalha estratégica nos próximos 36 meses não será pela melhor fundação — será por quem controla os dados verticais e a relação direta com o usuário final em cada categoria de aplicação.</w:t>
      </w:r>
    </w:p>
    <w:p>
      <w:pPr>
        <w:spacing w:before="60" w:after="0"/>
      </w:pPr>
    </w:p>
    <w:p>
      <w:pPr>
        <w:spacing w:before="220" w:after="60"/>
      </w:pPr>
      <w:r>
        <w:rPr>
          <w:rFonts w:ascii="Arial" w:cs="Arial" w:eastAsia="Arial" w:hAnsi="Arial"/>
          <w:b/>
          <w:bCs/>
          <w:color w:val="C8860A"/>
          <w:sz w:val="24"/>
          <w:szCs w:val="24"/>
        </w:rPr>
        <w:t xml:space="preserve">Vetor 2 — A IA Agêntica Cria a 'Empresa de Um'</w:t>
      </w:r>
    </w:p>
    <w:p>
      <w:pPr>
        <w:spacing w:before="80" w:after="80"/>
        <w:jc w:val="both"/>
      </w:pPr>
      <w:r>
        <w:rPr>
          <w:rFonts w:ascii="Arial" w:cs="Arial" w:eastAsia="Arial" w:hAnsi="Arial"/>
          <w:sz w:val="22"/>
          <w:szCs w:val="22"/>
        </w:rPr>
        <w:t xml:space="preserve">O YC Spring 2026 RFS foi escrito explicitamente assumindo que empresas AI-native podem ser construídas por times menores, mais rápido e com mais ambição do que nunca. Isso não é retórica — é matemática. Se um agente de IA pode executar as tarefas de 3-5 funcionários de suporte, marketing ou análise, a curva de custos de uma startup muda fundamentalmente. Empresas de software podem atingir US$ 10M de ARR com 5-10 pessoas. Agências AI-native (design, jurídico, marketing) podem operar com margens de 70-80%. A 'empresa de um' — ou de cinco — torna-se viável em escala nunca antes possível. Isso democratiza a fundação de empresas mas também intensifica a competição em cada nicho de mercado.</w:t>
      </w:r>
    </w:p>
    <w:p>
      <w:pPr>
        <w:spacing w:before="60" w:after="0"/>
      </w:pPr>
    </w:p>
    <w:p>
      <w:pPr>
        <w:spacing w:before="220" w:after="60"/>
      </w:pPr>
      <w:r>
        <w:rPr>
          <w:rFonts w:ascii="Arial" w:cs="Arial" w:eastAsia="Arial" w:hAnsi="Arial"/>
          <w:b/>
          <w:bCs/>
          <w:color w:val="C8860A"/>
          <w:sz w:val="24"/>
          <w:szCs w:val="24"/>
        </w:rPr>
        <w:t xml:space="preserve">Vetor 3 — O Ciclo Virtuoso Hardware-Software-Dados</w:t>
      </w:r>
    </w:p>
    <w:p>
      <w:pPr>
        <w:spacing w:before="80" w:after="80"/>
        <w:jc w:val="both"/>
      </w:pPr>
      <w:r>
        <w:rPr>
          <w:rFonts w:ascii="Arial" w:cs="Arial" w:eastAsia="Arial" w:hAnsi="Arial"/>
          <w:sz w:val="22"/>
          <w:szCs w:val="22"/>
        </w:rPr>
        <w:t xml:space="preserve">O aumento do investimento em hardware (chips, robótica, wearables, sensores) cria a fundação para uma nova geração de dados que os modelos de IA atuais ainda não têm: dados do mundo físico em alta resolução e em tempo real. Quando óculos inteligentes com IA capturam e processam o mundo visual de um técnico de manutenção, ou quando sensores industriais alimentam modelos que otimizam uma linha de produção em tempo real, emerge um ciclo virtuoso: mais hardware gera mais dados, mais dados treinam modelos melhores, modelos melhores criam mais valor para o hardware. Startups que conseguem criar esse flywheel proprietário constroem moats que modelos de linguagem sozinhos não replicam.</w:t>
      </w:r>
    </w:p>
    <w:p>
      <w:pPr>
        <w:spacing w:before="60" w:after="0"/>
      </w:pPr>
    </w:p>
    <w:p>
      <w:pPr>
        <w:spacing w:before="220" w:after="60"/>
      </w:pPr>
      <w:r>
        <w:rPr>
          <w:rFonts w:ascii="Arial" w:cs="Arial" w:eastAsia="Arial" w:hAnsi="Arial"/>
          <w:b/>
          <w:bCs/>
          <w:color w:val="C8860A"/>
          <w:sz w:val="24"/>
          <w:szCs w:val="24"/>
        </w:rPr>
        <w:t xml:space="preserve">Vetor 4 — A Janela de Mercado para 'Boring Tech' nas Indústrias Físicas</w:t>
      </w:r>
    </w:p>
    <w:p>
      <w:pPr>
        <w:spacing w:before="80" w:after="80"/>
        <w:jc w:val="both"/>
      </w:pPr>
      <w:r>
        <w:rPr>
          <w:rFonts w:ascii="Arial" w:cs="Arial" w:eastAsia="Arial" w:hAnsi="Arial"/>
          <w:sz w:val="22"/>
          <w:szCs w:val="22"/>
        </w:rPr>
        <w:t xml:space="preserve">O YC incluiu metal mills no RFS Spring 2026 não por acidente: setores de manufatura, construção, logística e energia têm décadas de subinvestimento em digitalização. São mercados de trilhões de dólares onde a margem operacional de uma startup de software é extraordinária porque a concorrência ainda é analógica ou usa software de 30 anos. A combinação de IA agêntica + hardware barato + sensors IoT está finalmente tornando viável modernizar essas indústrias de forma lucrativa. Quem entrar nesse espaço nos próximos 24 meses enfrenta menos competição de startups de IA 'sexy' e muito mais tração com clientes dispostos a pagar.</w:t>
      </w:r>
    </w:p>
    <w:p>
      <w:pPr>
        <w:spacing w:before="60" w:after="0"/>
      </w:pPr>
    </w:p>
    <w:p>
      <w:pPr>
        <w:spacing w:before="220" w:after="60"/>
      </w:pPr>
      <w:r>
        <w:rPr>
          <w:rFonts w:ascii="Arial" w:cs="Arial" w:eastAsia="Arial" w:hAnsi="Arial"/>
          <w:b/>
          <w:bCs/>
          <w:color w:val="C8860A"/>
          <w:sz w:val="24"/>
          <w:szCs w:val="24"/>
        </w:rPr>
        <w:t xml:space="preserve">Vetor 5 — O Consumidor AI-Native e o Novo Comportamento de Compra</w:t>
      </w:r>
    </w:p>
    <w:p>
      <w:pPr>
        <w:spacing w:before="80" w:after="80"/>
        <w:jc w:val="both"/>
      </w:pPr>
      <w:r>
        <w:rPr>
          <w:rFonts w:ascii="Arial" w:cs="Arial" w:eastAsia="Arial" w:hAnsi="Arial"/>
          <w:sz w:val="22"/>
          <w:szCs w:val="22"/>
        </w:rPr>
        <w:t xml:space="preserve">À medida que consumidores se tornam usuários habituais de IA para busca, descoberta e decisão, o comportamento de compra muda estruturalmente. A jornada não é mais linear: o consumidor configura preferências e critérios em seu agente de IA, que filtra opções e, em casos crescentes, executa a compra de forma autônoma. Isso cria o fenômeno dos 'compradores não-humanos' descrito no relatório de tecnologia desta série. Para startups de e-commerce, marketplace e consumer apps, isso significa que a distribuição via canais algorítmicos de IA se torna tão importante quanto SEO ou social ads. Startups que constroem 'AI-friendly interfaces' — dados estruturados, specs claros, políticas transparentes — terão vantagem de conversão crescente.</w:t>
      </w:r>
    </w:p>
    <w:p>
      <w:pPr>
        <w:spacing w:before="60" w:after="0"/>
      </w:pPr>
    </w:p>
    <w:p>
      <w:pPr>
        <w:spacing w:before="220" w:after="60"/>
      </w:pPr>
      <w:r>
        <w:rPr>
          <w:rFonts w:ascii="Arial" w:cs="Arial" w:eastAsia="Arial" w:hAnsi="Arial"/>
          <w:b/>
          <w:bCs/>
          <w:color w:val="C8860A"/>
          <w:sz w:val="24"/>
          <w:szCs w:val="24"/>
        </w:rPr>
        <w:t xml:space="preserve">Vetor 6 — A Consolidação Via M&amp;A e os IPOs de US$ 100 Bilhões</w:t>
      </w:r>
    </w:p>
    <w:p>
      <w:pPr>
        <w:spacing w:before="80" w:after="80"/>
        <w:jc w:val="both"/>
      </w:pPr>
      <w:r>
        <w:rPr>
          <w:rFonts w:ascii="Arial" w:cs="Arial" w:eastAsia="Arial" w:hAnsi="Arial"/>
          <w:sz w:val="22"/>
          <w:szCs w:val="22"/>
        </w:rPr>
        <w:t xml:space="preserve">O pipeline de liquidez de 2026 é o mais impressionante desde 2021: OpenAI planeja IPO no Q2-Q3 com valuation alvo de US$ 550-600 bilhões; Databricks arquivou confidencialmente em janeiro de 2026 com US$ 4,5 bilhões de ARR; CoreWeave prepara debut público no Q2 com US$ 24-28 bilhões de valuation; 15+ unicórnios estão em preparação para IPO em 2026. Se esses IPOs performarem bem, eles criam um ciclo virtuoso: validam a tese de IA nos mercados públicos, reciclam capital para os fundos, que voltam a investir em novas startups. Simultâneamente, o M&amp;A está acelerando: incumbentes como Workday (adquiriu Sana), OpenAI (adquiriu Statsig), AMD (adquiriu Silo AI, Brium e Untether AI) e outros estão comprando ativamente para construir ecossistemas completos.</w:t>
      </w:r>
    </w:p>
    <w:p>
      <w:pPr>
        <w:spacing w:before="140" w:after="0"/>
      </w:pPr>
    </w:p>
    <w:p>
      <w:r>
        <w:br w:type="page"/>
      </w:r>
    </w:p>
    <w:p>
      <w:pPr>
        <w:pStyle w:val="Heading1"/>
        <w:spacing w:before="400" w:after="120"/>
      </w:pPr>
      <w:r>
        <w:rPr>
          <w:rFonts w:ascii="Arial" w:cs="Arial" w:eastAsia="Arial" w:hAnsi="Arial"/>
          <w:b/>
          <w:bCs/>
          <w:color w:val="0D2B55"/>
          <w:sz w:val="40"/>
          <w:szCs w:val="40"/>
        </w:rPr>
        <w:t xml:space="preserve">Parte VI — O Mapa das Apostas: Onde Está o Alpha</w:t>
      </w:r>
    </w:p>
    <w:p>
      <w:pPr>
        <w:pStyle w:val="Heading2"/>
        <w:spacing w:before="280" w:after="80"/>
      </w:pPr>
      <w:r>
        <w:rPr>
          <w:rFonts w:ascii="Arial" w:cs="Arial" w:eastAsia="Arial" w:hAnsi="Arial"/>
          <w:b/>
          <w:bCs/>
          <w:color w:val="1A4F99"/>
          <w:sz w:val="28"/>
          <w:szCs w:val="28"/>
        </w:rPr>
        <w:t xml:space="preserve">6.1. Categorias com Maior Potencial de Retorno Ajustado por Risco</w:t>
      </w:r>
    </w:p>
    <w:p>
      <w:pPr>
        <w:spacing w:before="80" w:after="80"/>
        <w:jc w:val="both"/>
      </w:pPr>
      <w:r>
        <w:rPr>
          <w:rFonts w:ascii="Arial" w:cs="Arial" w:eastAsia="Arial" w:hAnsi="Arial"/>
          <w:sz w:val="22"/>
          <w:szCs w:val="22"/>
        </w:rPr>
        <w:t xml:space="preserve">Com base na análise integrada dos dados de funding, das teses dos principais fundos e dos sinais do mercado de startups, as categorias com maior potencial de retorno nos próximos 36 meses são aquelas que combinam: mercado grande e subatendido, alavancagem real de IA (não apenas marketing), e defensibilidade via dados proprietários ou lock-in de processo.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Categoria</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Por que tem Alpha</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Risco Principal</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AI Agêntica B2B Vertical</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88% do YC S25. Enterprise AI revenue 3x em 2025. Mercados grandes, clientes dispostos a pagar, moats de dados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Comoditização rápida. Dependência de modelos fundacionais de terceiros. Concorrência de incumbentes com distribuição.</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1A4F99"/>
                <w:sz w:val="20"/>
                <w:szCs w:val="20"/>
              </w:rPr>
              <w:t xml:space="preserve">Infraestrutura de Inferência</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Herdora, Stellon Labs, Lambda. Shift de capability para efficiency. Gargalo de custo de inferência é real e crescente</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Capex intensivo. Risco de comoditização por hyperscalers (AWS, Google). Ciclos de produto curtos em hardware de IA.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Voice AI em Setores Regulados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16 startups no YC S25. ElevenLabs: US$ 200M ARR. Barreiras de compliance criam moat natural. Mercados de saúde, financeiro, legal</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Compliance é barreira de entrada mas também freio ao crescimento. Custo de treinamento de dados proprietários é alto.</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Robótica e Inteligência Física</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Project Prometheus US$ 6,2bi. Figure AI. PsiQuantum. Ciclo hardware-software-dados defensável. Próxima fronteira pós-LLM</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Capital intensivo. Ciclos longos. Dependência de supply chain de semicondutores. Mercado de massa ainda em formação.</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1A4F99"/>
                <w:sz w:val="20"/>
                <w:szCs w:val="20"/>
              </w:rPr>
              <w:t xml:space="preserve">GovTech e Defense Tech</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Contratos plurianuais, clientes 'sticky', tamanho de mercado sub-atendido, capital soberano catalítico</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Ciclos de venda longos (18-36 meses). Dependência política. Regulação complexa. Risco de concentração em poucos clientes.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Stablecoins e Fintech Infrastructure</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Janela regulatória nos EUA. Problema real não resolvido em pagamentos cross-border. YC RFS explícito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Risco regulatório residual. Concorrência de incumbentes bancários com lobby. Volatilidade política em relação a cripto.</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1A4F99"/>
                <w:sz w:val="20"/>
                <w:szCs w:val="20"/>
              </w:rPr>
              <w:t xml:space="preserve">'Boring Tech' Industrial</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Setores de trilhões completamente não-digitalizados. Pouca competição de startups sexy. Clientes dispostos a pagar. Margens altas</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Ciclos de venda longos. Resistência cultural à mudança. Custo de implementação. Dependência de hardware.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Healthtech + GLP-1 Adjacentes</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Mercado em reconfiguração. GLP-1 cria oportunidade de portfólio alimentar, monitoramento, suporte. YC healthcare median seed 48% maior</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Regulação FDA/ANVISA. Ciclos longos de validação clínica. Risco de concentração em GLP-1 como trend temporária.</w:t>
            </w:r>
          </w:p>
        </w:tc>
      </w:tr>
    </w:tbl>
    <w:p>
      <w:pPr>
        <w:spacing w:before="120" w:after="0"/>
      </w:pPr>
    </w:p>
    <w:p>
      <w:pPr>
        <w:pStyle w:val="Heading2"/>
        <w:spacing w:before="280" w:after="80"/>
      </w:pPr>
      <w:r>
        <w:rPr>
          <w:rFonts w:ascii="Arial" w:cs="Arial" w:eastAsia="Arial" w:hAnsi="Arial"/>
          <w:b/>
          <w:bCs/>
          <w:color w:val="1A4F99"/>
          <w:sz w:val="28"/>
          <w:szCs w:val="28"/>
        </w:rPr>
        <w:t xml:space="preserve">6.2. As Startups de Referência que Definem o Benchmark</w:t>
      </w:r>
    </w:p>
    <w:p>
      <w:pPr>
        <w:spacing w:before="80" w:after="80"/>
        <w:jc w:val="both"/>
      </w:pPr>
      <w:r>
        <w:rPr>
          <w:rFonts w:ascii="Arial" w:cs="Arial" w:eastAsia="Arial" w:hAnsi="Arial"/>
          <w:sz w:val="22"/>
          <w:szCs w:val="22"/>
        </w:rPr>
        <w:t xml:space="preserve">Algumas empresas do período se tornaram benchmarks de categoria — não apenas por seus números, mas pela combinação de velocidade de crescimento, modelo de negócio e demonstração de que a tese de IA agêntica funciona em escala real.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Empresa / Categoria</w:t>
            </w:r>
          </w:p>
        </w:tc>
        <w:tc>
          <w:tcPr>
            <w:tcW w:type="dxa" w:w="4680"/>
            <w:tcBorders>
              <w:top w:val="single" w:color="CCCCCC" w:sz="1"/>
              <w:left w:val="single" w:color="CCCCCC" w:sz="1"/>
              <w:bottom w:val="single" w:color="CCCCCC" w:sz="1"/>
              <w:right w:val="single" w:color="CCCCCC" w:sz="1"/>
            </w:tcBorders>
            <w:shd w:fill="0D2B55" w:val="clear"/>
            <w:tcMar>
              <w:top w:type="dxa" w:w="90"/>
              <w:left w:type="dxa" w:w="130"/>
              <w:bottom w:type="dxa" w:w="90"/>
              <w:right w:type="dxa" w:w="80"/>
            </w:tcMar>
          </w:tcPr>
          <w:p>
            <w:r>
              <w:rPr>
                <w:rFonts w:ascii="Arial" w:cs="Arial" w:eastAsia="Arial" w:hAnsi="Arial"/>
                <w:b/>
                <w:bCs/>
                <w:color w:val="FFFFFF"/>
                <w:sz w:val="20"/>
                <w:szCs w:val="20"/>
              </w:rPr>
              <w:t xml:space="preserve">Dado de Referência (2025-2026)</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Emergent (coding agents / YC)</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A61C00"/>
                <w:sz w:val="20"/>
                <w:szCs w:val="20"/>
              </w:rPr>
              <w:t xml:space="preserve">US$ 50M ARR em 7 meses — um dos crescimentos mais rápidos da história do YC</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Lovable (vibe coding / Estocolmo)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Unicórnio em 8 meses: US$ 200M Series A a US$ 1,8bi de valuation</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ElevenLabs (voice AI)</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US$ 200M ARR · receita dobrada em 9 meses · US$ 6,6bi de valuation</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Synthesia (avatar video AI)</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US$ 100M ARR · 70% do Fortune 100 como cliente · 30M minutos de vídeo gerados</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Anysphere / Cursor (dev tools)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US$ 2,3bi de round liderado por Accel e Coatue · benchmark de dev tools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Hippocratic AI (healthtech)</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US$ 126M Series C com General Catalyst e a16z · LLMs safety-first para saúde</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OpenAI</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US$ 14,2bi de revenue · 520M usuários semanais · IPO target US$ 550-600bi</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Databricks</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US$ 4,5bi ARR · 85% do Fortune 100 usa AI data infrastructure · IPO Q1 2026</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CoreWeave (AI cloud)</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IPO target Q2 2026 a US$ 24-28bi · maior IPO de cloud desde AWS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Figure AI (robotics)</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B1426"/>
                <w:sz w:val="20"/>
                <w:szCs w:val="20"/>
              </w:rPr>
              <w:t xml:space="preserve">Acordo com Amazon validando humanoid robots em operações de fulfillment</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Kalshi (prediction markets)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B1426"/>
                <w:sz w:val="20"/>
                <w:szCs w:val="20"/>
              </w:rPr>
              <w:t xml:space="preserve">US$ 1bi rodada Sequoia/CapitalG · primeiro mercado de predição regulado nos EUA</w:t>
            </w:r>
          </w:p>
        </w:tc>
      </w:tr>
    </w:tbl>
    <w:p>
      <w:pPr>
        <w:spacing w:before="140" w:after="0"/>
      </w:pPr>
    </w:p>
    <w:p>
      <w:r>
        <w:br w:type="page"/>
      </w:r>
    </w:p>
    <w:p>
      <w:pPr>
        <w:pStyle w:val="Heading1"/>
        <w:spacing w:before="400" w:after="120"/>
      </w:pPr>
      <w:r>
        <w:rPr>
          <w:rFonts w:ascii="Arial" w:cs="Arial" w:eastAsia="Arial" w:hAnsi="Arial"/>
          <w:b/>
          <w:bCs/>
          <w:color w:val="0D2B55"/>
          <w:sz w:val="40"/>
          <w:szCs w:val="40"/>
        </w:rPr>
        <w:t xml:space="preserve">Parte VII — A Convergência: Startups, Tecnologia e Novos Padrões de Consumo</w:t>
      </w:r>
    </w:p>
    <w:p>
      <w:pPr>
        <w:pStyle w:val="Heading2"/>
        <w:spacing w:before="280" w:after="80"/>
      </w:pPr>
      <w:r>
        <w:rPr>
          <w:rFonts w:ascii="Arial" w:cs="Arial" w:eastAsia="Arial" w:hAnsi="Arial"/>
          <w:b/>
          <w:bCs/>
          <w:color w:val="1A4F99"/>
          <w:sz w:val="28"/>
          <w:szCs w:val="28"/>
        </w:rPr>
        <w:t xml:space="preserve">7.1. Como as Startups de Hoje Moldam o Consumidor de Amanhã</w:t>
      </w:r>
    </w:p>
    <w:p>
      <w:pPr>
        <w:spacing w:before="80" w:after="80"/>
        <w:jc w:val="both"/>
      </w:pPr>
      <w:r>
        <w:rPr>
          <w:rFonts w:ascii="Arial" w:cs="Arial" w:eastAsia="Arial" w:hAnsi="Arial"/>
          <w:sz w:val="22"/>
          <w:szCs w:val="22"/>
        </w:rPr>
        <w:t xml:space="preserve">As startups que o YC e os principais fundos estão financiando hoje não são apenas negócios — são infraestruturas de comportamento futuro. A Emergent (coding agents) não está apenas automatizando desenvolvimento: está redefinindo quem pode criar software e, portanto, quem pode criar empresas. A Hippocratic AI não está apenas automatizando atendimento em saúde: está redesenhando a relação entre paciente, médico e sistema de saúde. A voice AI que entra em setores regulados não está apenas reduzindo custo de call center: está reconfigurando a expectativa do consumidor sobre atendimento instantâneo, personalizado e disponível 24/7.</w:t>
      </w:r>
    </w:p>
    <w:p>
      <w:pPr>
        <w:spacing w:before="80" w:after="80"/>
        <w:jc w:val="both"/>
      </w:pPr>
      <w:r>
        <w:rPr>
          <w:rFonts w:ascii="Arial" w:cs="Arial" w:eastAsia="Arial" w:hAnsi="Arial"/>
          <w:sz w:val="22"/>
          <w:szCs w:val="22"/>
        </w:rPr>
        <w:t xml:space="preserve">Em todos os casos, o padrão é o mesmo: uma startup ataca uma fricção específica com IA, cria uma experiência substancialmente superior à alternativa humana ou analógica, e ao fazê-lo eleva o piso de expectativa do consumidor. Uma vez que o consumidor experimenta atendimento de saúde disponível às 3h da manhã via IA, ele não volta a aceitar o call center com espera de 40 minutos. Uma vez que o comprador online tem seu agente de IA filtrando as melhores opções de acordo com suas preferências, ele não volta ao scroll aleatório de marketplace. As startups de hoje estão criando os comportamentos de consumo dos próximos 5-10 anos.</w:t>
      </w:r>
    </w:p>
    <w:p>
      <w:pPr>
        <w:spacing w:before="140" w:after="0"/>
      </w:pPr>
    </w:p>
    <w:p>
      <w:pPr>
        <w:pStyle w:val="Heading2"/>
        <w:spacing w:before="280" w:after="80"/>
      </w:pPr>
      <w:r>
        <w:rPr>
          <w:rFonts w:ascii="Arial" w:cs="Arial" w:eastAsia="Arial" w:hAnsi="Arial"/>
          <w:b/>
          <w:bCs/>
          <w:color w:val="1A4F99"/>
          <w:sz w:val="28"/>
          <w:szCs w:val="28"/>
        </w:rPr>
        <w:t xml:space="preserve">7.2. O Novo Consumer Journey no Mundo de Startups AI-Native</w:t>
      </w:r>
    </w:p>
    <w:p>
      <w:pPr>
        <w:spacing w:before="80" w:after="80"/>
        <w:jc w:val="both"/>
      </w:pPr>
      <w:r>
        <w:rPr>
          <w:rFonts w:ascii="Arial" w:cs="Arial" w:eastAsia="Arial" w:hAnsi="Arial"/>
          <w:sz w:val="22"/>
          <w:szCs w:val="22"/>
        </w:rPr>
        <w:t xml:space="preserve">A convergência entre IA agêntica, social commerce e comportamento de compra intencional cria um novo consumer journey que as startups estão mapeando e construindo infraestrutura para servir. As quatro fases desse novo ciclo são radicalmente diferentes do funil de marketing tradicional: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Fase do Journey</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O que Muda com IA</w:t>
            </w:r>
          </w:p>
        </w:tc>
        <w:tc>
          <w:tcPr>
            <w:tcW w:type="dxa" w:w="3380"/>
            <w:tcBorders>
              <w:top w:val="single" w:color="CCCCCC" w:sz="1"/>
              <w:left w:val="single" w:color="CCCCCC" w:sz="1"/>
              <w:bottom w:val="single" w:color="CCCCCC" w:sz="1"/>
              <w:right w:val="single" w:color="CCCCCC" w:sz="1"/>
            </w:tcBorders>
            <w:shd w:fill="0D2B55" w:val="clear"/>
            <w:tcMar>
              <w:top w:type="dxa" w:w="90"/>
              <w:left w:type="dxa" w:w="120"/>
              <w:bottom w:type="dxa" w:w="90"/>
              <w:right w:type="dxa" w:w="80"/>
            </w:tcMar>
          </w:tcPr>
          <w:p>
            <w:r>
              <w:rPr>
                <w:rFonts w:ascii="Arial" w:cs="Arial" w:eastAsia="Arial" w:hAnsi="Arial"/>
                <w:b/>
                <w:bCs/>
                <w:color w:val="FFFFFF"/>
                <w:sz w:val="20"/>
                <w:szCs w:val="20"/>
              </w:rPr>
              <w:t xml:space="preserve">Startup / Categoria que Captura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Descoberta</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IA filtra e sintetiza opções antes do consumidor sequer buscar. 37% dos jovens britânicos usam IA para metade+ das buscas. Social commerce substitui Google como entrada.</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Return Signals (YC: AI luxury concierge via SMS) · Social commerce infra · AI-native ad networks (Imprezia)</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1A4F99"/>
                <w:sz w:val="20"/>
                <w:szCs w:val="20"/>
              </w:rPr>
              <w:t xml:space="preserve">Avaliação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Agentes comparam preços, leem reviews, verificam specs automaticamente. O consumidor define critérios; o agente executa a pesquisa. Reviews reais e UGC ganham peso algorítmico.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AI shopping agents · Plataformas de dados estruturados de produto · Trust &amp; review infra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1A4F99"/>
                <w:sz w:val="20"/>
                <w:szCs w:val="20"/>
              </w:rPr>
              <w:t xml:space="preserve">Decisão e Compra</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Em categorias de recompra, agentes executam a compra sem interação humana. BNPL embute na jornada. Stablecoins simplificam cross-border.</w:t>
            </w:r>
          </w:p>
        </w:tc>
        <w:tc>
          <w:tcPr>
            <w:tcW w:type="dxa" w:w="338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B1426"/>
                <w:sz w:val="20"/>
                <w:szCs w:val="20"/>
              </w:rPr>
              <w:t xml:space="preserve">Agentic commerce infra · Stablecoin payment rails · BNPL integration</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1A4F99"/>
                <w:sz w:val="20"/>
                <w:szCs w:val="20"/>
              </w:rPr>
              <w:t xml:space="preserve">Pós-compra e Retenção</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IA personaliza follow-up, detecta insatisfação antes do retorno, oferece troca proativa. Net Revenue Retention &gt;120% torna-se benchmark.</w:t>
            </w:r>
          </w:p>
        </w:tc>
        <w:tc>
          <w:tcPr>
            <w:tcW w:type="dxa" w:w="33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B1426"/>
                <w:sz w:val="20"/>
                <w:szCs w:val="20"/>
              </w:rPr>
              <w:t xml:space="preserve">Return Signals (AI concierge) · AI customer success · Voice AI em pós-venda</w:t>
            </w:r>
          </w:p>
        </w:tc>
      </w:tr>
    </w:tbl>
    <w:p>
      <w:pPr>
        <w:spacing w:before="120" w:after="0"/>
      </w:pPr>
    </w:p>
    <w:p>
      <w:pPr>
        <w:pStyle w:val="Heading2"/>
        <w:spacing w:before="280" w:after="80"/>
      </w:pPr>
      <w:r>
        <w:rPr>
          <w:rFonts w:ascii="Arial" w:cs="Arial" w:eastAsia="Arial" w:hAnsi="Arial"/>
          <w:b/>
          <w:bCs/>
          <w:color w:val="1A4F99"/>
          <w:sz w:val="28"/>
          <w:szCs w:val="28"/>
        </w:rPr>
        <w:t xml:space="preserve">7.3. As Plataformas Que Vencerão — e as Que Perderão</w:t>
      </w:r>
    </w:p>
    <w:p>
      <w:pPr>
        <w:spacing w:before="80" w:after="80"/>
        <w:jc w:val="both"/>
      </w:pPr>
      <w:r>
        <w:rPr>
          <w:rFonts w:ascii="Arial" w:cs="Arial" w:eastAsia="Arial" w:hAnsi="Arial"/>
          <w:sz w:val="22"/>
          <w:szCs w:val="22"/>
        </w:rPr>
        <w:t xml:space="preserve">A análise do comportamento de consumo e das apostas de capital convergem para uma conclusão: as plataformas que vencerão nos próximos 5 anos são aquelas que constroem o loop completo de dados proprietários → personalização de IA → retenção → mais dados. As que perderão são as que vendem acesso a audiência sem controle da relação de dados com o usuário.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FDF6E3" w:val="clear"/>
            <w:tcMar>
              <w:top w:type="dxa" w:w="120"/>
              <w:left w:type="dxa" w:w="180"/>
              <w:bottom w:type="dxa" w:w="120"/>
              <w:right w:type="dxa" w:w="100"/>
            </w:tcMar>
          </w:tcPr>
          <w:p>
            <w:pPr>
              <w:spacing w:before="0" w:after="60"/>
            </w:pPr>
            <w:r>
              <w:rPr>
                <w:rFonts w:ascii="Arial" w:cs="Arial" w:eastAsia="Arial" w:hAnsi="Arial"/>
                <w:b/>
                <w:bCs/>
                <w:color w:val="C8860A"/>
                <w:sz w:val="20"/>
                <w:szCs w:val="20"/>
              </w:rPr>
              <w:t xml:space="preserve">Modelos que ganham (2026-2030)</w:t>
            </w:r>
          </w:p>
          <w:p>
            <w:pPr>
              <w:spacing w:before="0" w:after="0"/>
              <w:jc w:val="both"/>
            </w:pPr>
            <w:r>
              <w:rPr>
                <w:rFonts w:ascii="Arial" w:cs="Arial" w:eastAsia="Arial" w:hAnsi="Arial"/>
                <w:sz w:val="20"/>
                <w:szCs w:val="20"/>
              </w:rPr>
              <w:t xml:space="preserve">AI-native applications com dados proprietários verticais. Plataformas de infraestrutura com lock-in de dados (Databricks, Snowflake). Agências AI-native com margens de software. Marketplaces com dados de comportamento de compra ricos. Healthcare startups com dados de pacientes estruturados. Voice AI com dados de conversas proprietários.</w:t>
            </w:r>
          </w:p>
        </w:tc>
        <w:tc>
          <w:tcPr>
            <w:tcW w:type="dxa" w:w="4740"/>
            <w:tcBorders>
              <w:top w:val="none" w:color="FFFFFF" w:sz="0"/>
              <w:left w:val="none" w:color="FFFFFF" w:sz="0"/>
              <w:bottom w:val="none" w:color="FFFFFF" w:sz="0"/>
              <w:right w:val="none" w:color="FFFFFF" w:sz="0"/>
            </w:tcBorders>
            <w:shd w:fill="FEE2E2" w:val="clear"/>
            <w:tcMar>
              <w:top w:type="dxa" w:w="120"/>
              <w:left w:type="dxa" w:w="180"/>
              <w:bottom w:type="dxa" w:w="120"/>
              <w:right w:type="dxa" w:w="100"/>
            </w:tcMar>
          </w:tcPr>
          <w:p>
            <w:pPr>
              <w:spacing w:before="0" w:after="60"/>
            </w:pPr>
            <w:r>
              <w:rPr>
                <w:rFonts w:ascii="Arial" w:cs="Arial" w:eastAsia="Arial" w:hAnsi="Arial"/>
                <w:b/>
                <w:bCs/>
                <w:color w:val="1B5E20"/>
                <w:sz w:val="20"/>
                <w:szCs w:val="20"/>
              </w:rPr>
              <w:t xml:space="preserve">Modelos que perdem terreno</w:t>
            </w:r>
          </w:p>
          <w:p>
            <w:pPr>
              <w:spacing w:before="0" w:after="0"/>
              <w:jc w:val="both"/>
            </w:pPr>
            <w:r>
              <w:rPr>
                <w:rFonts w:ascii="Arial" w:cs="Arial" w:eastAsia="Arial" w:hAnsi="Arial"/>
                <w:sz w:val="20"/>
                <w:szCs w:val="20"/>
              </w:rPr>
              <w:t xml:space="preserve">Agências tradicionais baseadas em hora-pessoa sem IA. SaaS genérico sem diferenciação de IA. Plataformas de dados de terceiros (impacto do fim dos cookies). Buscadores tradicionais sem integração nativa de IA. Plataformas de conteúdo sem dados de primeira parte robustos.</w:t>
            </w:r>
          </w:p>
        </w:tc>
      </w:tr>
    </w:tbl>
    <w:p>
      <w:pPr>
        <w:spacing w:before="140" w:after="0"/>
      </w:pPr>
    </w:p>
    <w:p>
      <w:r>
        <w:br w:type="page"/>
      </w:r>
    </w:p>
    <w:p>
      <w:pPr>
        <w:pStyle w:val="Heading1"/>
        <w:spacing w:before="400" w:after="120"/>
      </w:pPr>
      <w:r>
        <w:rPr>
          <w:rFonts w:ascii="Arial" w:cs="Arial" w:eastAsia="Arial" w:hAnsi="Arial"/>
          <w:b/>
          <w:bCs/>
          <w:color w:val="0D2B55"/>
          <w:sz w:val="40"/>
          <w:szCs w:val="40"/>
        </w:rPr>
        <w:t xml:space="preserve">Parte VIII — Implicações Estratégicas para Diferentes Atores</w:t>
      </w:r>
    </w:p>
    <w:p>
      <w:pPr>
        <w:pStyle w:val="Heading2"/>
        <w:spacing w:before="280" w:after="80"/>
      </w:pPr>
      <w:r>
        <w:rPr>
          <w:rFonts w:ascii="Arial" w:cs="Arial" w:eastAsia="Arial" w:hAnsi="Arial"/>
          <w:b/>
          <w:bCs/>
          <w:color w:val="1A4F99"/>
          <w:sz w:val="28"/>
          <w:szCs w:val="28"/>
        </w:rPr>
        <w:t xml:space="preserve">8.1. Para Fundadores e Empreendedores</w:t>
      </w:r>
    </w:p>
    <w:p>
      <w:pPr>
        <w:spacing w:before="80" w:after="80"/>
        <w:jc w:val="both"/>
      </w:pPr>
      <w:r>
        <w:rPr>
          <w:rFonts w:ascii="Arial" w:cs="Arial" w:eastAsia="Arial" w:hAnsi="Arial"/>
          <w:sz w:val="22"/>
          <w:szCs w:val="22"/>
        </w:rPr>
        <w:t xml:space="preserve">O ambiente de 2026 é simultaneamente o mais acessível e o mais competitivo da história para criar startups. A acessibilidade vem das ferramentas: vibe coding, modelos de IA como co-fundadores técnicos, cloud computing barato e um ecossistema de aceleradores e fundos mais maduro do que nunca. A competição vem exatamente da mesma fonte: se qualquer pessoa pode criar um MVP em dias, o que diferencia as empresas que sobrevivem não é mais a capacidade técnica de construir — é a capacidade de identificar o problema certo, criar distribuição defensável e construir uma relação de dados com o cliente que os competidores não conseguem replicar.</w:t>
      </w:r>
    </w:p>
    <w:p>
      <w:pPr>
        <w:pStyle w:val="ListParagraph"/>
        <w:numPr>
          <w:ilvl w:val="0"/>
          <w:numId w:val="2"/>
        </w:numPr>
        <w:spacing w:before="50" w:after="50"/>
      </w:pPr>
      <w:r>
        <w:rPr>
          <w:rFonts w:ascii="Arial" w:cs="Arial" w:eastAsia="Arial" w:hAnsi="Arial"/>
          <w:sz w:val="22"/>
          <w:szCs w:val="22"/>
        </w:rPr>
        <w:t xml:space="preserve">Encontre o mercado 'boring' com urgência real: os setores mais sub-atendidos têm mais oportunidade e menos competição de startups modernas.</w:t>
      </w:r>
    </w:p>
    <w:p>
      <w:pPr>
        <w:pStyle w:val="ListParagraph"/>
        <w:numPr>
          <w:ilvl w:val="0"/>
          <w:numId w:val="2"/>
        </w:numPr>
        <w:spacing w:before="50" w:after="50"/>
      </w:pPr>
      <w:r>
        <w:rPr>
          <w:rFonts w:ascii="Arial" w:cs="Arial" w:eastAsia="Arial" w:hAnsi="Arial"/>
          <w:sz w:val="22"/>
          <w:szCs w:val="22"/>
        </w:rPr>
        <w:t xml:space="preserve">Construa dados proprietários desde o primeiro cliente: o moat de 2026 não é o código, é o dataset vertical que nenhum modelo genérico tem.</w:t>
      </w:r>
    </w:p>
    <w:p>
      <w:pPr>
        <w:pStyle w:val="ListParagraph"/>
        <w:numPr>
          <w:ilvl w:val="0"/>
          <w:numId w:val="2"/>
        </w:numPr>
        <w:spacing w:before="50" w:after="50"/>
      </w:pPr>
      <w:r>
        <w:rPr>
          <w:rFonts w:ascii="Arial" w:cs="Arial" w:eastAsia="Arial" w:hAnsi="Arial"/>
          <w:sz w:val="22"/>
          <w:szCs w:val="22"/>
        </w:rPr>
        <w:t xml:space="preserve">Use IA para comprimir o tempo até o revenue: três meses para o primeiro contrato enterprise acima de US$ 100K é o novo benchmark; abaixo disso, você está atrasado.</w:t>
      </w:r>
    </w:p>
    <w:p>
      <w:pPr>
        <w:pStyle w:val="ListParagraph"/>
        <w:numPr>
          <w:ilvl w:val="0"/>
          <w:numId w:val="2"/>
        </w:numPr>
        <w:spacing w:before="50" w:after="50"/>
      </w:pPr>
      <w:r>
        <w:rPr>
          <w:rFonts w:ascii="Arial" w:cs="Arial" w:eastAsia="Arial" w:hAnsi="Arial"/>
          <w:sz w:val="22"/>
          <w:szCs w:val="22"/>
        </w:rPr>
        <w:t xml:space="preserve">Posicione-se para ser adquirido ou para adquirir: o ciclo de M&amp;A está acelerado. Construir para ser uma peça estratégica no portfólio de um incumbente pode ser a exit mais lucrativa dos próximos 3 anos.</w:t>
      </w:r>
    </w:p>
    <w:p>
      <w:pPr>
        <w:spacing w:before="60" w:after="0"/>
      </w:pPr>
    </w:p>
    <w:p>
      <w:pPr>
        <w:pStyle w:val="Heading2"/>
        <w:spacing w:before="280" w:after="80"/>
      </w:pPr>
      <w:r>
        <w:rPr>
          <w:rFonts w:ascii="Arial" w:cs="Arial" w:eastAsia="Arial" w:hAnsi="Arial"/>
          <w:b/>
          <w:bCs/>
          <w:color w:val="1A4F99"/>
          <w:sz w:val="28"/>
          <w:szCs w:val="28"/>
        </w:rPr>
        <w:t xml:space="preserve">8.2. Para Investidores e Alocadores</w:t>
      </w:r>
    </w:p>
    <w:p>
      <w:pPr>
        <w:spacing w:before="80" w:after="80"/>
        <w:jc w:val="both"/>
      </w:pPr>
      <w:r>
        <w:rPr>
          <w:rFonts w:ascii="Arial" w:cs="Arial" w:eastAsia="Arial" w:hAnsi="Arial"/>
          <w:sz w:val="22"/>
          <w:szCs w:val="22"/>
        </w:rPr>
        <w:t xml:space="preserve">A concentração de capital nos megarounds de IA cria uma armadilha para investidores menores: perseguir os deals de Foundation Model é inacessível; ignorar IA é suicídio de portfólio. A janela de alpha real está na Camada 3 — aplicações verticais em setores específicos onde a IA está chegando pela primeira vez. Healthcare, GovTech, industrial tech e fintech de infraestrutura ainda têm valuations razoáveis e mercados enormes.</w:t>
      </w:r>
    </w:p>
    <w:p>
      <w:pPr>
        <w:pStyle w:val="ListParagraph"/>
        <w:numPr>
          <w:ilvl w:val="0"/>
          <w:numId w:val="2"/>
        </w:numPr>
        <w:spacing w:before="50" w:after="50"/>
      </w:pPr>
      <w:r>
        <w:rPr>
          <w:rFonts w:ascii="Arial" w:cs="Arial" w:eastAsia="Arial" w:hAnsi="Arial"/>
          <w:sz w:val="22"/>
          <w:szCs w:val="22"/>
        </w:rPr>
        <w:t xml:space="preserve">Evitar o hype de Foundation Models sem poder de cheque compatível: a concentração em OpenAI e Anthropic é real mas inacessível para a maioria.</w:t>
      </w:r>
    </w:p>
    <w:p>
      <w:pPr>
        <w:pStyle w:val="ListParagraph"/>
        <w:numPr>
          <w:ilvl w:val="0"/>
          <w:numId w:val="2"/>
        </w:numPr>
        <w:spacing w:before="50" w:after="50"/>
      </w:pPr>
      <w:r>
        <w:rPr>
          <w:rFonts w:ascii="Arial" w:cs="Arial" w:eastAsia="Arial" w:hAnsi="Arial"/>
          <w:sz w:val="22"/>
          <w:szCs w:val="22"/>
        </w:rPr>
        <w:t xml:space="preserve">Foco em Camada 3 vertical: empresas com ARR crescente, dados proprietários e lock-in de processo em setores que nunca foram digitalizados.</w:t>
      </w:r>
    </w:p>
    <w:p>
      <w:pPr>
        <w:pStyle w:val="ListParagraph"/>
        <w:numPr>
          <w:ilvl w:val="0"/>
          <w:numId w:val="2"/>
        </w:numPr>
        <w:spacing w:before="50" w:after="50"/>
      </w:pPr>
      <w:r>
        <w:rPr>
          <w:rFonts w:ascii="Arial" w:cs="Arial" w:eastAsia="Arial" w:hAnsi="Arial"/>
          <w:sz w:val="22"/>
          <w:szCs w:val="22"/>
        </w:rPr>
        <w:t xml:space="preserve">Atenção ao pipeline de IPOs: CoreWeave, Databricks e OpenAI em 2026 reciclarão capital para o ecossistema e validarão ou corrigirão valuations do mercado privado.</w:t>
      </w:r>
    </w:p>
    <w:p>
      <w:pPr>
        <w:pStyle w:val="ListParagraph"/>
        <w:numPr>
          <w:ilvl w:val="0"/>
          <w:numId w:val="2"/>
        </w:numPr>
        <w:spacing w:before="50" w:after="50"/>
      </w:pPr>
      <w:r>
        <w:rPr>
          <w:rFonts w:ascii="Arial" w:cs="Arial" w:eastAsia="Arial" w:hAnsi="Arial"/>
          <w:sz w:val="22"/>
          <w:szCs w:val="22"/>
        </w:rPr>
        <w:t xml:space="preserve">Secondary markets como nova ferramenta: o volume de transações secundárias está crescendo à medida que LPs buscam liquidez e GPs reposicionam portfólios.</w:t>
      </w:r>
    </w:p>
    <w:p>
      <w:pPr>
        <w:spacing w:before="60" w:after="0"/>
      </w:pPr>
    </w:p>
    <w:p>
      <w:pPr>
        <w:pStyle w:val="Heading2"/>
        <w:spacing w:before="280" w:after="80"/>
      </w:pPr>
      <w:r>
        <w:rPr>
          <w:rFonts w:ascii="Arial" w:cs="Arial" w:eastAsia="Arial" w:hAnsi="Arial"/>
          <w:b/>
          <w:bCs/>
          <w:color w:val="1A4F99"/>
          <w:sz w:val="28"/>
          <w:szCs w:val="28"/>
        </w:rPr>
        <w:t xml:space="preserve">8.3. Para Empresas Estabelecidas</w:t>
      </w:r>
    </w:p>
    <w:p>
      <w:pPr>
        <w:spacing w:before="80" w:after="80"/>
        <w:jc w:val="both"/>
      </w:pPr>
      <w:r>
        <w:rPr>
          <w:rFonts w:ascii="Arial" w:cs="Arial" w:eastAsia="Arial" w:hAnsi="Arial"/>
          <w:sz w:val="22"/>
          <w:szCs w:val="22"/>
        </w:rPr>
        <w:t xml:space="preserve">O risco de irrelevância para empresas tradicionais nunca foi tão real e tão próximo. As startups AI-native não estão apenas atacando os mesmos mercados com produtos mais baratos: estão atacando com modelos de negócio fundamentalmente diferentes — margens de software em setores de serviço, velocidade de iteração impossível para organizações com legado, e propostas de valor que criam expectativas de experiência que incumbentes não conseguem satisfazer com infraestrutura analógica.</w:t>
      </w:r>
    </w:p>
    <w:p>
      <w:pPr>
        <w:pStyle w:val="ListParagraph"/>
        <w:numPr>
          <w:ilvl w:val="0"/>
          <w:numId w:val="2"/>
        </w:numPr>
        <w:spacing w:before="50" w:after="50"/>
      </w:pPr>
      <w:r>
        <w:rPr>
          <w:rFonts w:ascii="Arial" w:cs="Arial" w:eastAsia="Arial" w:hAnsi="Arial"/>
          <w:sz w:val="22"/>
          <w:szCs w:val="22"/>
        </w:rPr>
        <w:t xml:space="preserve">Compre antes que fique caro: o M&amp;A de 2026 está acelerado. Empresas com distribuição e dados mas sem IA devem adquirir startups AI-native antes que os valuations reflitam a tração completa.</w:t>
      </w:r>
    </w:p>
    <w:p>
      <w:pPr>
        <w:pStyle w:val="ListParagraph"/>
        <w:numPr>
          <w:ilvl w:val="0"/>
          <w:numId w:val="2"/>
        </w:numPr>
        <w:spacing w:before="50" w:after="50"/>
      </w:pPr>
      <w:r>
        <w:rPr>
          <w:rFonts w:ascii="Arial" w:cs="Arial" w:eastAsia="Arial" w:hAnsi="Arial"/>
          <w:sz w:val="22"/>
          <w:szCs w:val="22"/>
        </w:rPr>
        <w:t xml:space="preserve">Construa ou parcerize com infraestrutura de dados de primeira parte: o fim dos cookies de terceiros e a ascensão de agentes de IA tornam os dados proprietários o ativo mais estratégico do próximo ciclo.</w:t>
      </w:r>
    </w:p>
    <w:p>
      <w:pPr>
        <w:pStyle w:val="ListParagraph"/>
        <w:numPr>
          <w:ilvl w:val="0"/>
          <w:numId w:val="2"/>
        </w:numPr>
        <w:spacing w:before="50" w:after="50"/>
      </w:pPr>
      <w:r>
        <w:rPr>
          <w:rFonts w:ascii="Arial" w:cs="Arial" w:eastAsia="Arial" w:hAnsi="Arial"/>
          <w:sz w:val="22"/>
          <w:szCs w:val="22"/>
        </w:rPr>
        <w:t xml:space="preserve">Redefina sua proposição de valor diante do consumidor AI-native: se o consumidor vai deixar sua IA decidir onde comprar, você precisa ser o produto que a IA recomenda — não apenas o que o humano escolhe.</w:t>
      </w:r>
    </w:p>
    <w:p>
      <w:pPr>
        <w:spacing w:before="140" w:after="0"/>
      </w:pPr>
    </w:p>
    <w:p>
      <w:r>
        <w:br w:type="page"/>
      </w:r>
    </w:p>
    <w:p>
      <w:pPr>
        <w:pStyle w:val="Heading1"/>
        <w:spacing w:before="400" w:after="120"/>
      </w:pPr>
      <w:r>
        <w:rPr>
          <w:rFonts w:ascii="Arial" w:cs="Arial" w:eastAsia="Arial" w:hAnsi="Arial"/>
          <w:b/>
          <w:bCs/>
          <w:color w:val="0D2B55"/>
          <w:sz w:val="40"/>
          <w:szCs w:val="40"/>
        </w:rPr>
        <w:t xml:space="preserve">Conclusão — O Capital Como Oráculo</w:t>
      </w:r>
    </w:p>
    <w:p>
      <w:pPr>
        <w:spacing w:before="80" w:after="80"/>
        <w:jc w:val="both"/>
      </w:pPr>
      <w:r>
        <w:rPr>
          <w:rFonts w:ascii="Arial" w:cs="Arial" w:eastAsia="Arial" w:hAnsi="Arial"/>
          <w:sz w:val="22"/>
          <w:szCs w:val="22"/>
        </w:rPr>
        <w:t xml:space="preserve">Há uma tradição antiga de ler o futuro nos movimentos de capital. Não porque o dinheiro seja sempre sábio — a história dos mercados está cheia de bolhas —, mas porque o capital concentrado nas mãos dos agentes mais bem informados de um ecossistema reflete, mesmo que de forma imperfeita e parcialmente motivada por interesse, uma leitura coletiva do que está vindo. E o capital de 2025-2026 está dizendo algo muito claro: a próxima geração de negócios, de empregos e de comportamentos de consumo será construída sobre inteligência artificial como infraestrutura, não como feature.</w:t>
      </w:r>
    </w:p>
    <w:p>
      <w:pPr>
        <w:spacing w:before="80" w:after="80"/>
        <w:jc w:val="both"/>
      </w:pPr>
      <w:r>
        <w:rPr>
          <w:rFonts w:ascii="Arial" w:cs="Arial" w:eastAsia="Arial" w:hAnsi="Arial"/>
          <w:sz w:val="22"/>
          <w:szCs w:val="22"/>
        </w:rPr>
        <w:t xml:space="preserve">Mas há algo que o capital não diz — que nenhum round de venture consegue capturar completamente: o custo humano dessa transição. A mesma aceleração que cria bilionários em oito meses destrói empregos em setores que nunca receberam aviso com antecedência suficiente. A mesma eficiência que permite 'empresas de um' com US$ 10M de ARR concentra poder econômico de forma inédita. E a mesma IA que promete democratizar acesso a serviços de saúde, educação e justiça pode, mal governada, amplificar desigualdades existentes em escala sem precedente.</w:t>
      </w:r>
    </w:p>
    <w:p>
      <w:pPr>
        <w:spacing w:before="80" w:after="80"/>
        <w:jc w:val="both"/>
      </w:pPr>
      <w:r>
        <w:rPr>
          <w:rFonts w:ascii="Arial" w:cs="Arial" w:eastAsia="Arial" w:hAnsi="Arial"/>
          <w:sz w:val="22"/>
          <w:szCs w:val="22"/>
        </w:rPr>
        <w:t xml:space="preserve">As perguntas mais importantes deste período não estão nas planilhas de valuation. Estão na gestão da transição: como distribuiremos os ganhos de produtividade da IA? Como protegeremos os trabalhadores cujos empregos serão transformados mais rápido do que eles podem se readaptar? Como garantiremos que a concentração de poder em poucos modelos fundacionais não resulte em concentração equivalente de poder político e econômico?</w:t>
      </w:r>
    </w:p>
    <w:p>
      <w:pPr>
        <w:spacing w:before="100" w:after="0"/>
      </w:pPr>
    </w:p>
    <w:p>
      <w:pPr>
        <w:pBdr>
          <w:left w:val="single" w:color="1A4F99" w:sz="8" w:space="10"/>
        </w:pBdr>
        <w:spacing w:before="160" w:after="160"/>
        <w:ind w:left="720" w:right="720"/>
      </w:pPr>
      <w:r>
        <w:rPr>
          <w:rFonts w:ascii="Arial" w:cs="Arial" w:eastAsia="Arial" w:hAnsi="Arial"/>
          <w:i/>
          <w:iCs/>
          <w:color w:val="333333"/>
          <w:sz w:val="22"/>
          <w:szCs w:val="22"/>
        </w:rPr>
        <w:t xml:space="preserve">"YC's Spring 2026 RFS is a thesis, not a wish list. Every category assumes AI as the foundation, not a feature. If you're building something that doesn't embed AI at its core, you're building for a world that no longer exists." — VC Cafe, fevereiro de 2026</w:t>
      </w:r>
    </w:p>
    <w:p>
      <w:pPr>
        <w:spacing w:before="200" w:after="0"/>
      </w:pPr>
    </w:p>
    <w:p>
      <w:pPr>
        <w:pBdr>
          <w:bottom w:val="single" w:color="DDDDDD" w:sz="3" w:space="1"/>
        </w:pBdr>
        <w:spacing w:before="140" w:after="140"/>
      </w:pPr>
    </w:p>
    <w:p>
      <w:pPr>
        <w:spacing w:before="80" w:after="80"/>
        <w:jc w:val="both"/>
      </w:pPr>
      <w:r>
        <w:rPr>
          <w:rFonts w:ascii="Arial" w:cs="Arial" w:eastAsia="Arial" w:hAnsi="Arial"/>
          <w:color w:val="888888"/>
          <w:sz w:val="18"/>
          <w:szCs w:val="18"/>
        </w:rPr>
        <w:t xml:space="preserve">Fontes principais: Crunchbase (Global Venture Funding 2025, Nov 2025 Megarounds, Q3 2025 Analysis, AI Funding Charts EOY 2025) · PitchBook-NVCA Venture Monitor Q4 2025 · CB Insights (YC Summer 2025 Batch) · Extruct AI (YC S25 Analysis) · Catalaize (YC S25 Profile) · VC Cafe (RFS 2026 Edition) · Superframeworks (RFS Spring 2026) · YC Request for Startups (Spring 2026 — ycombinator.com/rfs) · Menlo Ventures (GenAI State of Consumer 2025) · AI Funding Tracker (Top 50 AI Startups Jan 2026) · Vestbee (State of AI 2025: Big Tech Rewriting VC Rules) · Second Talent (AI Startup Funding Statistics 2025) · GrowthList (YC Startups Guide 2026) · Qubit Capital (Best AI VC Firms 2026) · 4Degrees (Top VC Firms 2026).</w:t>
      </w:r>
    </w:p>
    <w:p>
      <w:pPr>
        <w:spacing w:before="80" w:after="80"/>
        <w:jc w:val="both"/>
      </w:pPr>
      <w:r>
        <w:rPr>
          <w:rFonts w:ascii="Arial" w:cs="Arial" w:eastAsia="Arial" w:hAnsi="Arial"/>
          <w:i/>
          <w:iCs/>
          <w:color w:val="888888"/>
          <w:sz w:val="18"/>
          <w:szCs w:val="18"/>
        </w:rPr>
        <w:t xml:space="preserve">Quarto volume da série de Inteligência Estratégica. Compilado em fevereiro de 2026. Para uso complementar com os relatórios: Brasil (Vol.1), Global de Consumo (Vol.2) e Tecnologia &amp; Comportamento (Vol.3).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2B55"/>
      <w:sz w:val="40"/>
      <w:szCs w:val="40"/>
    </w:rPr>
  </w:style>
  <w:style w:type="paragraph" w:styleId="Heading2">
    <w:name w:val="Heading 2"/>
    <w:basedOn w:val="Normal"/>
    <w:next w:val="Normal"/>
    <w:qFormat/>
    <w:pPr>
      <w:spacing w:before="280" w:after="80"/>
      <w:outlineLvl w:val="1"/>
    </w:pPr>
    <w:rPr>
      <w:rFonts w:ascii="Arial" w:cs="Arial" w:eastAsia="Arial" w:hAnsi="Arial"/>
      <w:b/>
      <w:bCs/>
      <w:color w:val="1A4F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2026-02-28T03:38:09.066Z</dcterms:created>
  <dcterms:modified xsi:type="dcterms:W3CDTF">2026-02-28T03:38:09.067Z</dcterms:modified>
</cp:coreProperties>
</file>

<file path=docProps/custom.xml><?xml version="1.0" encoding="utf-8"?>
<Properties xmlns="http://schemas.openxmlformats.org/officeDocument/2006/custom-properties" xmlns:vt="http://schemas.openxmlformats.org/officeDocument/2006/docPropsVTypes"/>
</file>