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lineRule="auto"/>
        <w:ind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2">
      <w:pPr>
        <w:spacing w:after="280" w:before="280" w:lineRule="auto"/>
        <w:ind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(часть 2)</w:t>
      </w:r>
    </w:p>
    <w:p w:rsidR="00000000" w:rsidDel="00000000" w:rsidP="00000000" w:rsidRDefault="00000000" w:rsidRPr="00000000" w14:paraId="00000003">
      <w:pPr>
        <w:pStyle w:val="Heading1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Байесовская классификация и деревья принятия решений на  R</w:t>
      </w:r>
    </w:p>
    <w:p w:rsidR="00000000" w:rsidDel="00000000" w:rsidP="00000000" w:rsidRDefault="00000000" w:rsidRPr="00000000" w14:paraId="00000004">
      <w:pPr>
        <w:spacing w:before="39" w:lineRule="auto"/>
        <w:ind w:right="4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widowControl w:val="0"/>
        <w:ind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6.5. Цель работы:</w:t>
      </w:r>
    </w:p>
    <w:p w:rsidR="00000000" w:rsidDel="00000000" w:rsidP="00000000" w:rsidRDefault="00000000" w:rsidRPr="00000000" w14:paraId="00000006">
      <w:pPr>
        <w:spacing w:before="39" w:lineRule="auto"/>
        <w:ind w:right="2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Научиться выполнять классификацию на основе формулы Байеса и деревьев решений</w:t>
      </w:r>
    </w:p>
    <w:p w:rsidR="00000000" w:rsidDel="00000000" w:rsidP="00000000" w:rsidRDefault="00000000" w:rsidRPr="00000000" w14:paraId="00000007">
      <w:pPr>
        <w:ind w:right="2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widowControl w:val="0"/>
        <w:ind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6.6. Общие сведения</w:t>
      </w:r>
    </w:p>
    <w:p w:rsidR="00000000" w:rsidDel="00000000" w:rsidP="00000000" w:rsidRDefault="00000000" w:rsidRPr="00000000" w14:paraId="00000009">
      <w:pPr>
        <w:pStyle w:val="Heading2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6.6.1 Наивный Байесовский подход</w:t>
      </w:r>
    </w:p>
    <w:p w:rsidR="00000000" w:rsidDel="00000000" w:rsidP="00000000" w:rsidRDefault="00000000" w:rsidRPr="00000000" w14:paraId="0000000B">
      <w:pPr>
        <w:spacing w:before="184" w:lineRule="auto"/>
        <w:ind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Теорема Байеса </w:t>
      </w:r>
      <w:r w:rsidDel="00000000" w:rsidR="00000000" w:rsidRPr="00000000">
        <w:rPr>
          <w:sz w:val="24"/>
          <w:szCs w:val="24"/>
          <w:rtl w:val="0"/>
        </w:rPr>
        <w:t xml:space="preserve">– одна из основных теорем теории вероятностей.</w:t>
      </w:r>
    </w:p>
    <w:p w:rsidR="00000000" w:rsidDel="00000000" w:rsidP="00000000" w:rsidRDefault="00000000" w:rsidRPr="00000000" w14:paraId="0000000C">
      <w:pPr>
        <w:spacing w:before="188" w:line="259" w:lineRule="auto"/>
        <w:ind w:left="2552" w:right="22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Теорема Байеса названа в честь её автора, английского математика и священника </w:t>
      </w:r>
      <w:r w:rsidDel="00000000" w:rsidR="00000000" w:rsidRPr="00000000">
        <w:rPr>
          <w:i w:val="1"/>
          <w:sz w:val="24"/>
          <w:szCs w:val="24"/>
          <w:rtl w:val="0"/>
        </w:rPr>
        <w:t xml:space="preserve">Томаса Байеса </w:t>
      </w:r>
      <w:r w:rsidDel="00000000" w:rsidR="00000000" w:rsidRPr="00000000">
        <w:rPr>
          <w:sz w:val="24"/>
          <w:szCs w:val="24"/>
          <w:rtl w:val="0"/>
        </w:rPr>
        <w:t xml:space="preserve">(англ.: </w:t>
      </w:r>
      <w:r w:rsidDel="00000000" w:rsidR="00000000" w:rsidRPr="00000000">
        <w:rPr>
          <w:i w:val="1"/>
          <w:sz w:val="24"/>
          <w:szCs w:val="24"/>
          <w:rtl w:val="0"/>
        </w:rPr>
        <w:t xml:space="preserve">Thomas Bayes</w:t>
      </w:r>
      <w:r w:rsidDel="00000000" w:rsidR="00000000" w:rsidRPr="00000000">
        <w:rPr>
          <w:sz w:val="24"/>
          <w:szCs w:val="24"/>
          <w:rtl w:val="0"/>
        </w:rPr>
        <w:t xml:space="preserve">) (1702 —1761).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-73024</wp:posOffset>
            </wp:positionH>
            <wp:positionV relativeFrom="paragraph">
              <wp:posOffset>118745</wp:posOffset>
            </wp:positionV>
            <wp:extent cx="1495425" cy="1598930"/>
            <wp:effectExtent b="0" l="0" r="0" t="0"/>
            <wp:wrapSquare wrapText="bothSides" distB="0" distT="0" distL="0" distR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98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before="147" w:line="259" w:lineRule="auto"/>
        <w:ind w:left="2552" w:right="2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Открытые ещё в 18-ом веке, формулы Байеса стали активно применяться с появлением компьютеров.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82" w:line="259" w:lineRule="auto"/>
        <w:ind w:left="2552" w:right="1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Формула условной вероятности наступления случайного события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в предположении, что имеет место событие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В</w:t>
      </w:r>
      <w:r w:rsidDel="00000000" w:rsidR="00000000" w:rsidRPr="00000000">
        <w:rPr>
          <w:sz w:val="24"/>
          <w:szCs w:val="24"/>
          <w:rtl w:val="0"/>
        </w:rPr>
        <w:t xml:space="preserve">, имеет вид:</w:t>
      </w:r>
    </w:p>
    <w:p w:rsidR="00000000" w:rsidDel="00000000" w:rsidP="00000000" w:rsidRDefault="00000000" w:rsidRPr="00000000" w14:paraId="00000010">
      <w:pPr>
        <w:spacing w:before="182" w:line="259" w:lineRule="auto"/>
        <w:ind w:right="1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2333625" cy="6096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223520</wp:posOffset>
                </wp:positionV>
                <wp:extent cx="514350" cy="305435"/>
                <wp:effectExtent b="0" l="0" r="0" t="0"/>
                <wp:wrapSquare wrapText="bothSides" distB="45720" distT="45720" distL="114300" distR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93588" y="3632045"/>
                          <a:ext cx="504825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567.0000076293945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(1)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223520</wp:posOffset>
                </wp:positionV>
                <wp:extent cx="514350" cy="305435"/>
                <wp:effectExtent b="0" l="0" r="0" t="0"/>
                <wp:wrapSquare wrapText="bothSides" distB="45720" distT="45720" distL="114300" distR="114300"/>
                <wp:docPr id="1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где</w:t>
      </w:r>
    </w:p>
    <w:p w:rsidR="00000000" w:rsidDel="00000000" w:rsidP="00000000" w:rsidRDefault="00000000" w:rsidRPr="00000000" w14:paraId="00000012">
      <w:pPr>
        <w:shd w:fill="ffffff" w:val="clear"/>
        <w:spacing w:after="24" w:lineRule="auto"/>
        <w:ind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P(A) — априорная вероятность гипотезы </w:t>
      </w:r>
      <w:r w:rsidDel="00000000" w:rsidR="00000000" w:rsidRPr="00000000">
        <w:rPr>
          <w:i w:val="1"/>
          <w:color w:val="22222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 (смысл такой терминологии см. ниже);</w:t>
      </w:r>
    </w:p>
    <w:p w:rsidR="00000000" w:rsidDel="00000000" w:rsidP="00000000" w:rsidRDefault="00000000" w:rsidRPr="00000000" w14:paraId="00000013">
      <w:pPr>
        <w:shd w:fill="ffffff" w:val="clear"/>
        <w:spacing w:after="24" w:lineRule="auto"/>
        <w:ind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P(A|B)  — вероятность гипотезы </w:t>
      </w:r>
      <w:r w:rsidDel="00000000" w:rsidR="00000000" w:rsidRPr="00000000">
        <w:rPr>
          <w:i w:val="1"/>
          <w:color w:val="22222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 при наступлении события </w:t>
      </w:r>
      <w:r w:rsidDel="00000000" w:rsidR="00000000" w:rsidRPr="00000000">
        <w:rPr>
          <w:i w:val="1"/>
          <w:color w:val="22222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 (апостериорная вероятность);</w:t>
      </w:r>
    </w:p>
    <w:p w:rsidR="00000000" w:rsidDel="00000000" w:rsidP="00000000" w:rsidRDefault="00000000" w:rsidRPr="00000000" w14:paraId="00000014">
      <w:pPr>
        <w:shd w:fill="ffffff" w:val="clear"/>
        <w:spacing w:after="24" w:lineRule="auto"/>
        <w:ind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P(B|A)  — вероятность наступления события </w:t>
      </w:r>
      <w:r w:rsidDel="00000000" w:rsidR="00000000" w:rsidRPr="00000000">
        <w:rPr>
          <w:i w:val="1"/>
          <w:color w:val="22222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 при истинности гипотезы </w:t>
      </w:r>
      <w:r w:rsidDel="00000000" w:rsidR="00000000" w:rsidRPr="00000000">
        <w:rPr>
          <w:i w:val="1"/>
          <w:color w:val="22222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after="24" w:lineRule="auto"/>
        <w:ind w:firstLine="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P(B)  — полная вероятность наступления события </w:t>
      </w:r>
      <w:r w:rsidDel="00000000" w:rsidR="00000000" w:rsidRPr="00000000">
        <w:rPr>
          <w:i w:val="1"/>
          <w:color w:val="222222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86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Формулу (1) можно переписать в виде:</w:t>
      </w:r>
    </w:p>
    <w:p w:rsidR="00000000" w:rsidDel="00000000" w:rsidP="00000000" w:rsidRDefault="00000000" w:rsidRPr="00000000" w14:paraId="00000017">
      <w:pPr>
        <w:tabs>
          <w:tab w:val="left" w:leader="none" w:pos="4245"/>
          <w:tab w:val="left" w:leader="none" w:pos="8947"/>
        </w:tabs>
        <w:spacing w:before="255" w:lineRule="auto"/>
        <w:ind w:firstLine="0"/>
        <w:rPr>
          <w:sz w:val="28"/>
          <w:szCs w:val="28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               𝑝(𝐴𝐵) =𝑝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𝐴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baseline"/>
          <w:rtl w:val="0"/>
        </w:rPr>
        <w:t xml:space="preserve">|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𝐵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baseline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∙ 𝑝(𝐵)</w:t>
        <w:tab/>
        <w:t xml:space="preserve">                   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(2)</w:t>
      </w:r>
    </w:p>
    <w:p w:rsidR="00000000" w:rsidDel="00000000" w:rsidP="00000000" w:rsidRDefault="00000000" w:rsidRPr="00000000" w14:paraId="00000018">
      <w:pPr>
        <w:spacing w:before="290" w:line="256" w:lineRule="auto"/>
        <w:ind w:right="1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Предположим, что событие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наступает тогда и только тогда, когда происходит одно из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 </w:t>
      </w:r>
      <w:r w:rsidDel="00000000" w:rsidR="00000000" w:rsidRPr="00000000">
        <w:rPr>
          <w:sz w:val="24"/>
          <w:szCs w:val="24"/>
          <w:rtl w:val="0"/>
        </w:rPr>
        <w:t xml:space="preserve">независимых и попарно несовместных событий, образующих </w:t>
      </w:r>
      <w:r w:rsidDel="00000000" w:rsidR="00000000" w:rsidRPr="00000000">
        <w:rPr>
          <w:i w:val="1"/>
          <w:sz w:val="24"/>
          <w:szCs w:val="24"/>
          <w:rtl w:val="0"/>
        </w:rPr>
        <w:t xml:space="preserve">полную группу </w:t>
      </w:r>
      <w:r w:rsidDel="00000000" w:rsidR="00000000" w:rsidRPr="00000000">
        <w:rPr>
          <w:sz w:val="24"/>
          <w:szCs w:val="24"/>
          <w:rtl w:val="0"/>
        </w:rPr>
        <w:t xml:space="preserve">(называемых </w:t>
      </w:r>
      <w:r w:rsidDel="00000000" w:rsidR="00000000" w:rsidRPr="00000000">
        <w:rPr>
          <w:i w:val="1"/>
          <w:sz w:val="24"/>
          <w:szCs w:val="24"/>
          <w:rtl w:val="0"/>
        </w:rPr>
        <w:t xml:space="preserve">гипотезами </w:t>
      </w:r>
      <w:r w:rsidDel="00000000" w:rsidR="00000000" w:rsidRPr="00000000">
        <w:rPr>
          <w:sz w:val="24"/>
          <w:szCs w:val="24"/>
          <w:rtl w:val="0"/>
        </w:rPr>
        <w:t xml:space="preserve">или </w:t>
      </w:r>
      <w:r w:rsidDel="00000000" w:rsidR="00000000" w:rsidRPr="00000000">
        <w:rPr>
          <w:i w:val="1"/>
          <w:sz w:val="24"/>
          <w:szCs w:val="24"/>
          <w:rtl w:val="0"/>
        </w:rPr>
        <w:t xml:space="preserve">причинами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rebuchet MS" w:cs="Trebuchet MS" w:eastAsia="Trebuchet MS" w:hAnsi="Trebuchet MS"/>
          <w:i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rebuchet MS" w:cs="Trebuchet MS" w:eastAsia="Trebuchet MS" w:hAnsi="Trebuchet MS"/>
          <w:i w:val="1"/>
          <w:sz w:val="24"/>
          <w:szCs w:val="24"/>
          <w:vertAlign w:val="subscript"/>
          <w:rtl w:val="0"/>
        </w:rPr>
        <w:t xml:space="preserve">k</w:t>
      </w:r>
      <w:r w:rsidDel="00000000" w:rsidR="00000000" w:rsidRPr="00000000">
        <w:rPr>
          <w:sz w:val="24"/>
          <w:szCs w:val="24"/>
          <w:rtl w:val="0"/>
        </w:rPr>
        <w:t xml:space="preserve">, т.е.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tabs>
          <w:tab w:val="left" w:leader="none" w:pos="8947"/>
        </w:tabs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A = A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+ A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+ … + A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.</w:t>
        <w:tab/>
        <w:t xml:space="preserve">(3)</w:t>
      </w:r>
    </w:p>
    <w:p w:rsidR="00000000" w:rsidDel="00000000" w:rsidP="00000000" w:rsidRDefault="00000000" w:rsidRPr="00000000" w14:paraId="0000001B">
      <w:pPr>
        <w:spacing w:before="367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Тогда справедлива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формула полной вероятности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1040" w:left="1600" w:right="7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1193800</wp:posOffset>
            </wp:positionH>
            <wp:positionV relativeFrom="paragraph">
              <wp:posOffset>118110</wp:posOffset>
            </wp:positionV>
            <wp:extent cx="1878351" cy="359624"/>
            <wp:effectExtent b="0" l="0" r="0" t="0"/>
            <wp:wrapNone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351" cy="359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before="6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Здесь p(H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) – </w:t>
      </w:r>
      <w:r w:rsidDel="00000000" w:rsidR="00000000" w:rsidRPr="00000000">
        <w:rPr>
          <w:i w:val="1"/>
          <w:sz w:val="24"/>
          <w:szCs w:val="24"/>
          <w:rtl w:val="0"/>
        </w:rPr>
        <w:t xml:space="preserve">априорные </w:t>
      </w:r>
      <w:r w:rsidDel="00000000" w:rsidR="00000000" w:rsidRPr="00000000">
        <w:rPr>
          <w:sz w:val="24"/>
          <w:szCs w:val="24"/>
          <w:rtl w:val="0"/>
        </w:rPr>
        <w:t xml:space="preserve">вероятности гипотез, </w:t>
      </w:r>
      <w:r w:rsidDel="00000000" w:rsidR="00000000" w:rsidRPr="00000000">
        <w:rPr>
          <w:i w:val="1"/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= 1,…,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before="297" w:line="259" w:lineRule="auto"/>
        <w:ind w:right="103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Апостериорные </w:t>
      </w:r>
      <w:r w:rsidDel="00000000" w:rsidR="00000000" w:rsidRPr="00000000">
        <w:rPr>
          <w:sz w:val="24"/>
          <w:szCs w:val="24"/>
          <w:rtl w:val="0"/>
        </w:rPr>
        <w:t xml:space="preserve">вероятности гипотез (т.е. вероятности гипотез в условиях наступления события 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 находятся (для каждого номера  </w:t>
      </w:r>
      <w:r w:rsidDel="00000000" w:rsidR="00000000" w:rsidRPr="00000000">
        <w:rPr>
          <w:i w:val="1"/>
          <w:sz w:val="24"/>
          <w:szCs w:val="24"/>
          <w:rtl w:val="0"/>
        </w:rPr>
        <w:t xml:space="preserve">k </w:t>
      </w:r>
      <w:r w:rsidDel="00000000" w:rsidR="00000000" w:rsidRPr="00000000">
        <w:rPr>
          <w:sz w:val="24"/>
          <w:szCs w:val="24"/>
          <w:rtl w:val="0"/>
        </w:rPr>
        <w:t xml:space="preserve">= 1,…,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) по формулам Байеса: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1868313</wp:posOffset>
            </wp:positionH>
            <wp:positionV relativeFrom="paragraph">
              <wp:posOffset>90745</wp:posOffset>
            </wp:positionV>
            <wp:extent cx="2191110" cy="611431"/>
            <wp:effectExtent b="0" l="0" r="0" t="0"/>
            <wp:wrapNone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110" cy="611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pStyle w:val="Heading2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10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1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Заметим, что выражение в знаменателе этой формулы есть вероятность наступления события A —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формула полной вероятности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105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Формулы Байеса, таким образом, позволяет «поменять местами» причину и следствие, т.е. по известному факту наступления события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вычислить вероятность того, что оно было вызвано данной причиной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103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Одной из сфер применения формул Байеса является анализ данных, в частности, решение задач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причём сырые данные (значения факторов), используемые для классификации, могут выражаться как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количественными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так 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качественными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переменными.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6.6.2 Наивный Байесовский подход - пример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среде R расчеты выполняются обычно с использованием функций NaiveBayes() из пакета klaR или naiveBayes() из пакета e1071.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Рассмотрим их использование на примере классификации цветков ириса: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library(klaR)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#Загрузка требуемого пакета: MASS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naive_iris &lt;- NaiveBayes(iris$Species ~ ., data = iris)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naive_iris$tables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naive_iris$tables$Petal.Width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                [,1]      [,2]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setosa      0.246     0.1053856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versicolor 1.326   0.1977527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virginica  2.026   0.2746501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Классификатор составил нам таблицы вероятностей по всем признакам, отобразить их нам поможет команда: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naive_iris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491394" cy="177795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394" cy="177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 6.11.  Средние значения параметров (первый столбец) и их стандартные отклонения (второй столбец) для каждого выделенного класса  (фрагмент таблицы)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каждой метрической независимой переменной были выведены средние значения Petal.Width (первый столбец) и их стандартные отклонения (второй столбец) для каждого выделенного класса.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Можно установить, что ширина лепестка у виргинского ириса существенно выше, чем у остальных двух видов. Для визуальной сравнительной оценки связи измеренных переменных с метками классов удобно рассмотреть ядерные функции плотности условной вероятности: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709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opar=par()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layout(matrix(c(1,2,3,4), 2, 2, byrow = TRUE))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plot(naive_iris,lwd = 2, legendplot=TRUE)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#legend("topleft", legend=c("setosa", "versicolor", "virginica"),lty=1:3, cex=0.5)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48250" cy="4238625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 6.12. Ядерные функции плотности условной вероятности для таблицы native_iris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par=opar #Восстанавливаем параметры графиков по умолчанию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Удалим пятый столбец таблицы, содержащий классификацию цветов и выполним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классификацию по "новым данным"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pred &lt;- predict(naive_iris, iris[, -5])$class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(table(Факт = iris$Species, Прогноз = pred))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90875" cy="8001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 6.12. Соотношение фактического состояния и прогноза для таблицы native_iris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Оценим точность предсказаний для таблицы iris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Acc &lt;- mean(pred == iris$Species)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Acc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#функция paste() - конвертирует векторы в текстовые переменные и объединяет их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#в одно текстовое выражение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paste("Точность=", round(100*Acc, 2), "%", sep = "")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paste("Точность=", round(100*Acc, 2), "%", sep = "")6.6. Деревья решений (пример)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174301" cy="310560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4301" cy="31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 6.13. Оценка точности классификации ирисов согласно формуле Байеса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6.7. Классификация Decision Tree</w:t>
      </w:r>
    </w:p>
    <w:p w:rsidR="00000000" w:rsidDel="00000000" w:rsidP="00000000" w:rsidRDefault="00000000" w:rsidRPr="00000000" w14:paraId="00000060">
      <w:pPr>
        <w:pStyle w:val="Heading2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Подготовка данных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set.seed(1234)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ind &lt;- sample(2, nrow(iris), replace=TRUE, prob=c(0.7, 0.3))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trainData &lt;- iris[ind==1,]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testData &lt;- iris[ind==2,]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nrow(trainData)             # [1]       112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nrow(testData)              # [1]        38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nrow(iris)                  # [1]        150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данном шаге мы разбиваем исходные данные на две выборки обучающую и тестовую. Для этого сначала используем функцию sample(), которая вернет нам вектор значений 1 или 2, размером, равным количеству строк в исходной выборке ( за это отвечает функция nrow() ), вероятность выпадения 1 равна 70%, а 2 – 30%. Далее, используя логическое индексирование   разобьем исходные данные.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Построение модели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install.packages("party")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library(party)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myFormula &lt;- Species ~ Sepal.Length + Sepal.Width + Petal.Length + Petal.Width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iris_ctree &lt;- ctree(myFormula, data=trainData)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построения модели сначала необходимо задать какой параметр (целевой признак) мы хотим предсказать и от каких признаков он зависит.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этого используется оператор ~ ( тильда ). Если мы хотим добавлять признаки по одному, то используется +, если хотим показать зависимость от всех признаков сразу, то используем оператор ~. , если же нужно исключить некоторые признаки, то используем -. Например, Species ~. – Sepal.Length. Запись показывает, что следует предсказывать целевой признак Species по всем признакам кроме Sepal.Length.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Следующим шагом строим модель, используя функцию </w:t>
      </w:r>
      <w:r w:rsidDel="00000000" w:rsidR="00000000" w:rsidRPr="00000000">
        <w:rPr>
          <w:i w:val="1"/>
          <w:sz w:val="24"/>
          <w:szCs w:val="24"/>
          <w:rtl w:val="0"/>
        </w:rPr>
        <w:t xml:space="preserve">ctree()</w:t>
      </w:r>
      <w:r w:rsidDel="00000000" w:rsidR="00000000" w:rsidRPr="00000000">
        <w:rPr>
          <w:sz w:val="24"/>
          <w:szCs w:val="24"/>
          <w:rtl w:val="0"/>
        </w:rPr>
        <w:t xml:space="preserve">, передав ей в качестве параметра нашу формулу и выборку для обучения модели (в нашем случае - это trainData).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Обучение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table(predict(iris_ctree), trainData$Species)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        setosa versicolor virginica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setosa     40       0          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versicolor 0        37         3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virginica  0        1          31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применения модели используется функция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predict().</w:t>
      </w:r>
      <w:r w:rsidDel="00000000" w:rsidR="00000000" w:rsidRPr="00000000">
        <w:rPr>
          <w:sz w:val="24"/>
          <w:szCs w:val="24"/>
          <w:rtl w:val="0"/>
        </w:rPr>
        <w:t xml:space="preserve"> По умолчанию функция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predict()</w:t>
      </w:r>
      <w:r w:rsidDel="00000000" w:rsidR="00000000" w:rsidRPr="00000000">
        <w:rPr>
          <w:sz w:val="24"/>
          <w:szCs w:val="24"/>
          <w:rtl w:val="0"/>
        </w:rPr>
        <w:t xml:space="preserve"> применяется к данным, которые использовались для построения/обучения модели. Далее строится так называемая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Confusion Matrix</w:t>
      </w:r>
      <w:r w:rsidDel="00000000" w:rsidR="00000000" w:rsidRPr="00000000">
        <w:rPr>
          <w:sz w:val="24"/>
          <w:szCs w:val="24"/>
          <w:rtl w:val="0"/>
        </w:rPr>
        <w:t xml:space="preserve"> (матрица ошибок или путаницы, если переводить дословно).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Читать данную таблицу следует так, например, при предсказанном значении versicolor, реально 3 объекта имели класс virginica.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Визуализация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&gt;plot(iris_ctree)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34619" cy="2834451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619" cy="283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 6.14.  Классификация ирисов с помощью двоичного дерева (стадия обучения).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Чтобы применить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обученную модель</w:t>
      </w:r>
      <w:r w:rsidDel="00000000" w:rsidR="00000000" w:rsidRPr="00000000">
        <w:rPr>
          <w:sz w:val="24"/>
          <w:szCs w:val="24"/>
          <w:rtl w:val="0"/>
        </w:rPr>
        <w:t xml:space="preserve"> для произвольной выборки, необходимо использовать функцию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predict</w:t>
      </w:r>
      <w:r w:rsidDel="00000000" w:rsidR="00000000" w:rsidRPr="00000000">
        <w:rPr>
          <w:sz w:val="24"/>
          <w:szCs w:val="24"/>
          <w:rtl w:val="0"/>
        </w:rPr>
        <w:t xml:space="preserve"> с параметром </w:t>
      </w:r>
      <w:r w:rsidDel="00000000" w:rsidR="00000000" w:rsidRPr="00000000">
        <w:rPr>
          <w:b w:val="1"/>
          <w:sz w:val="24"/>
          <w:szCs w:val="24"/>
          <w:rtl w:val="0"/>
        </w:rPr>
        <w:t xml:space="preserve">newdata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Возможно, при построении дерева вам понадобятся дополнительные настройки.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99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Применение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992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&gt;test_predicted &lt;- predict(iris_ctree, newdata=testData)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992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&gt; table(test_predicted, testData$Species)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992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     setosa versicolor virginica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992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setosa     10       0          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992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versicolor 0        12         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992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virginica  0        0          14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9.0" w:type="dxa"/>
        <w:jc w:val="left"/>
        <w:tblLayout w:type="fixed"/>
        <w:tblLook w:val="0400"/>
      </w:tblPr>
      <w:tblGrid>
        <w:gridCol w:w="9039"/>
        <w:tblGridChange w:id="0">
          <w:tblGrid>
            <w:gridCol w:w="903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Droid Sans Mono" w:cs="Droid Sans Mono" w:eastAsia="Droid Sans Mono" w:hAnsi="Droid Sans Mono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 6.15.  Классификация ирисов с помощью двоичного дерева.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Видно, что классификация сработала хорошо, мы получили два ошибочных элемента при классификации вида versicolor, что составляет 1,7%.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6.8. Алгоритм Random Forest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 - один из наиболее популярных алгоритмов машинного обучения или data mining. 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Во-первых, он невероятно универсален, с его помощью можно решать, как задачи регрессии так и классификации. Проводить поиск аномалий и отбор предикторов.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Во-вторых, это тот алгоритм, который действительно сложно применить неправильно. Просто потому, что в отличии от других алгоритмов у него мало настраиваемых параметров. И еще он удивительно прост по своей сути. И в то же время он отличается высокой точностью. 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Главная идея алгоритма -  обучение ансамбля в действии. Алгоритм Random Forest потому и называется "Случайный Лес", что для полученных данных он создает множество деревьев принятия решений и потом усредняет результат их предсказаний. Важным моментом тут является элемент случайности в создании каждого дерева - если мы создадим много одинаковых деревьев с разной точностью, то результат их усреднения будет обладать точностью одного дерева.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Построение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&gt; library(randomForest)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&gt; rf &lt;- randomForest(Species ~ .,data=trainData, ntree=100, proximity=TRUE)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&gt; table(predict(rf), trainData$Species)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setosa versicolor virginica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setosa     40       0         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versicolor 0        35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ff5050"/>
          <w:sz w:val="24"/>
          <w:szCs w:val="24"/>
          <w:u w:val="none"/>
          <w:shd w:fill="auto" w:val="clear"/>
          <w:vertAlign w:val="baseline"/>
          <w:rtl w:val="0"/>
        </w:rPr>
        <w:t xml:space="preserve">/37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3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ff5050"/>
          <w:sz w:val="24"/>
          <w:szCs w:val="24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virginica  0        2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ff5050"/>
          <w:sz w:val="24"/>
          <w:szCs w:val="24"/>
          <w:u w:val="none"/>
          <w:shd w:fill="auto" w:val="clear"/>
          <w:vertAlign w:val="baseline"/>
          <w:rtl w:val="0"/>
        </w:rPr>
        <w:t xml:space="preserve">/1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32</w:t>
      </w: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ff5050"/>
          <w:sz w:val="24"/>
          <w:szCs w:val="24"/>
          <w:u w:val="none"/>
          <w:shd w:fill="auto" w:val="clear"/>
          <w:vertAlign w:val="baseline"/>
          <w:rtl w:val="0"/>
        </w:rPr>
        <w:t xml:space="preserve">/31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Здесь числа, помеченные красным, написаны для сравнения с алгоритмом дерева решения.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 с алгоритмом randomForest абсолютно аналогична применению алгоритма Decision Tree. Для работы с алгоритмом необходимо подключить пакет rendomForest и использовать одноименную функцию.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Вашей задаче, возможно, придется уменьшить количество деревьев (ntree) для получения адекватного результата.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Информация о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&gt;print(rf)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Call: randomForest(formula = Species ~ ., data = trainData, ntree = 100, proximity = TRUE)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of random forest:classification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trees: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of variables tried at each split: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OOB estimate of error rate: 4.46%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 matrix: #матрица ошибок – показывает долю отклонений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setosa     40 0  0  0.00000000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versicolor 0  35 3  0.07894737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virginica  0  2  32 0.05882353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Альтернативная реализация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&gt;library(party)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&gt;cf &lt;- cforest(Species ~ ., data=trainData, control=cforest_unbiased(mtry=2,ntree=100))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cc"/>
          <w:sz w:val="24"/>
          <w:szCs w:val="24"/>
          <w:u w:val="none"/>
          <w:shd w:fill="auto" w:val="clear"/>
          <w:vertAlign w:val="baseline"/>
          <w:rtl w:val="0"/>
        </w:rPr>
        <w:t xml:space="preserve">&gt; table(predict(cf), trainData$Species)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ind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6.8. Формулировка задания:</w:t>
      </w:r>
    </w:p>
    <w:p w:rsidR="00000000" w:rsidDel="00000000" w:rsidP="00000000" w:rsidRDefault="00000000" w:rsidRPr="00000000" w14:paraId="000000BB">
      <w:pPr>
        <w:pStyle w:val="Heading2"/>
        <w:ind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берутся из предыдущего набора (ЛР 6 часть 1). Вам необходимо добавить найденные при в результате кластерного анализа классы (groups), как вектор-столбец в предыдущий DATASET, разделить его на две части (обучающую и тестовую) обучить на обучающей выборке классификатор, а затем применить классификатор к тестовым данным. Важно: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понадобится преобразовать вектор groups в фактор.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наивного Байесовского классификатора: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Решите задачу с помощью наивного Байесовского классификатора; 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Проанализируйте точность полученных решений для тестовых данных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деревьев решений: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Примените метод деревьев решений для задачи классификации (для того же набора данных).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Исследуйте дерево решений; если позволяет размерность, постройте его график.</w:t>
      </w:r>
    </w:p>
    <w:p w:rsidR="00000000" w:rsidDel="00000000" w:rsidP="00000000" w:rsidRDefault="00000000" w:rsidRPr="00000000" w14:paraId="000000C7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3. Проанализируйте точность полученных решений для тестовых данных (с известным значением переменной отклика), сравните результаты с ранее полученными.</w:t>
      </w:r>
    </w:p>
    <w:p w:rsidR="00000000" w:rsidDel="00000000" w:rsidP="00000000" w:rsidRDefault="00000000" w:rsidRPr="00000000" w14:paraId="000000C8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 Выполнить классификацию с помощью случайного леса, сопоставить результат с результатом дерева решения, прокомментировать результат сравнения.</w:t>
      </w:r>
    </w:p>
    <w:p w:rsidR="00000000" w:rsidDel="00000000" w:rsidP="00000000" w:rsidRDefault="00000000" w:rsidRPr="00000000" w14:paraId="000000C9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5. Сопоставьте результаты с результатами Байесовского классификатора.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Проанализируйте полученные результаты, сделайте вывод относительно результатов кластерного анализа (ЛР 6.1), оформите общий отчёт по ЛР 6.1 и 6.2.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выполнения заданий использовать данные из части 6.1.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851" w:top="1040" w:left="1418" w:right="7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Trebuchet MS"/>
  <w:font w:name="Courier New"/>
  <w:font w:name="Droid Sans Mono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ru-RU"/>
      </w:rPr>
    </w:rPrDefault>
    <w:pPrDefault>
      <w:pPr>
        <w:ind w:firstLine="567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sz w:val="52"/>
      <w:szCs w:val="52"/>
    </w:rPr>
  </w:style>
  <w:style w:type="paragraph" w:styleId="Heading2">
    <w:name w:val="heading 2"/>
    <w:basedOn w:val="Normal"/>
    <w:next w:val="Normal"/>
    <w:pPr>
      <w:ind w:right="225"/>
      <w:jc w:val="right"/>
    </w:pPr>
    <w:rPr>
      <w:sz w:val="44"/>
      <w:szCs w:val="44"/>
    </w:rPr>
  </w:style>
  <w:style w:type="paragraph" w:styleId="Heading3">
    <w:name w:val="heading 3"/>
    <w:basedOn w:val="Normal"/>
    <w:next w:val="Normal"/>
    <w:pPr>
      <w:spacing w:before="85" w:lineRule="auto"/>
      <w:ind w:left="102"/>
    </w:pPr>
    <w:rPr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uiPriority w:val="1"/>
    <w:qFormat w:val="1"/>
    <w:rPr>
      <w:rFonts w:ascii="Times New Roman" w:cs="Times New Roman" w:eastAsia="Times New Roman" w:hAnsi="Times New Roman"/>
      <w:lang w:bidi="ru-RU" w:eastAsia="ru-RU" w:val="ru-RU"/>
    </w:rPr>
  </w:style>
  <w:style w:type="paragraph" w:styleId="1">
    <w:name w:val="heading 1"/>
    <w:basedOn w:val="a"/>
    <w:uiPriority w:val="1"/>
    <w:qFormat w:val="1"/>
    <w:pPr>
      <w:outlineLvl w:val="0"/>
    </w:pPr>
    <w:rPr>
      <w:sz w:val="52"/>
      <w:szCs w:val="52"/>
    </w:rPr>
  </w:style>
  <w:style w:type="paragraph" w:styleId="2">
    <w:name w:val="heading 2"/>
    <w:basedOn w:val="a"/>
    <w:uiPriority w:val="1"/>
    <w:qFormat w:val="1"/>
    <w:pPr>
      <w:ind w:right="225"/>
      <w:jc w:val="right"/>
      <w:outlineLvl w:val="1"/>
    </w:pPr>
    <w:rPr>
      <w:sz w:val="44"/>
      <w:szCs w:val="44"/>
    </w:rPr>
  </w:style>
  <w:style w:type="paragraph" w:styleId="3">
    <w:name w:val="heading 3"/>
    <w:basedOn w:val="a"/>
    <w:uiPriority w:val="1"/>
    <w:qFormat w:val="1"/>
    <w:pPr>
      <w:spacing w:before="85"/>
      <w:ind w:left="102"/>
      <w:outlineLvl w:val="2"/>
    </w:pPr>
    <w:rPr>
      <w:b w:val="1"/>
      <w:bCs w:val="1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sz w:val="36"/>
      <w:szCs w:val="36"/>
    </w:rPr>
  </w:style>
  <w:style w:type="paragraph" w:styleId="a4">
    <w:name w:val="List Paragraph"/>
    <w:basedOn w:val="a"/>
    <w:uiPriority w:val="1"/>
    <w:qFormat w:val="1"/>
    <w:pPr>
      <w:spacing w:before="60"/>
      <w:ind w:left="814" w:hanging="356"/>
    </w:pPr>
  </w:style>
  <w:style w:type="paragraph" w:styleId="TableParagraph" w:customStyle="1">
    <w:name w:val="Table Paragraph"/>
    <w:basedOn w:val="a"/>
    <w:uiPriority w:val="1"/>
    <w:qFormat w:val="1"/>
    <w:pPr>
      <w:spacing w:before="110"/>
      <w:jc w:val="right"/>
    </w:pPr>
  </w:style>
  <w:style w:type="character" w:styleId="mwe-math-mathml-inline" w:customStyle="1">
    <w:name w:val="mwe-math-mathml-inline"/>
    <w:basedOn w:val="a0"/>
    <w:rsid w:val="00AE59CB"/>
  </w:style>
  <w:style w:type="paragraph" w:styleId="a5">
    <w:name w:val="Normal (Web)"/>
    <w:basedOn w:val="a"/>
    <w:uiPriority w:val="99"/>
    <w:unhideWhenUsed w:val="1"/>
    <w:rsid w:val="00144AD5"/>
    <w:pPr>
      <w:spacing w:after="100" w:afterAutospacing="1" w:before="100" w:beforeAutospacing="1"/>
    </w:pPr>
    <w:rPr>
      <w:sz w:val="24"/>
      <w:szCs w:val="24"/>
      <w:lang w:bidi="ar-SA"/>
    </w:rPr>
  </w:style>
  <w:style w:type="paragraph" w:styleId="HTML">
    <w:name w:val="HTML Preformatted"/>
    <w:basedOn w:val="a"/>
    <w:link w:val="HTML0"/>
    <w:uiPriority w:val="99"/>
    <w:rsid w:val="00EE2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bidi="ar-SA"/>
    </w:rPr>
  </w:style>
  <w:style w:type="character" w:styleId="HTML0" w:customStyle="1">
    <w:name w:val="Стандартный HTML Знак"/>
    <w:basedOn w:val="a0"/>
    <w:link w:val="HTML"/>
    <w:uiPriority w:val="99"/>
    <w:rsid w:val="00EE2D76"/>
    <w:rPr>
      <w:rFonts w:ascii="Courier New" w:cs="Courier New" w:eastAsia="Times New Roman" w:hAnsi="Courier New"/>
      <w:sz w:val="20"/>
      <w:szCs w:val="20"/>
      <w:lang w:eastAsia="ru-RU" w:val="ru-RU"/>
    </w:rPr>
  </w:style>
  <w:style w:type="character" w:styleId="gghfmyibcpb" w:customStyle="1">
    <w:name w:val="gghfmyibcpb"/>
    <w:rsid w:val="00EE2D76"/>
  </w:style>
  <w:style w:type="character" w:styleId="gd15mcfcktb" w:customStyle="1">
    <w:name w:val="gd15mcfcktb"/>
    <w:rsid w:val="00EE2D76"/>
  </w:style>
  <w:style w:type="paragraph" w:styleId="first-para" w:customStyle="1">
    <w:name w:val="first-para"/>
    <w:basedOn w:val="a"/>
    <w:rsid w:val="00C3649A"/>
    <w:pPr>
      <w:spacing w:after="100" w:afterAutospacing="1" w:before="100" w:beforeAutospacing="1"/>
    </w:pPr>
    <w:rPr>
      <w:sz w:val="24"/>
      <w:szCs w:val="24"/>
      <w:lang w:bidi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EBWbycaB7Si1y7dkJUIFdebUg==">CgMxLjA4AHIhMUE5VnktdUFPRGdqYkVNblZVUVByRE01RkJCNXJ0S0dQ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2020-03-31T12:25:00Z</dcterms:created>
  <dc:creator>RePack by Diakov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2017-11-12T00:00:00Z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2020-03-31T00:00:00Z</vt:lpwstr>
  </property>
</Properties>
</file>