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2.0.7</w:t>
      </w:r>
    </w:p>
    <w:p>
      <w:pPr>
        <w:pStyle w:val="Author"/>
      </w:pPr>
      <w:r>
        <w:t xml:space="preserve">CA/Browser</w:t>
      </w:r>
      <w:r>
        <w:t xml:space="preserve"> </w:t>
      </w:r>
      <w:r>
        <w:t xml:space="preserve">Forum</w:t>
      </w:r>
    </w:p>
    <w:p>
      <w:pPr>
        <w:pStyle w:val="Date"/>
      </w:pPr>
      <w:r>
        <w:t xml:space="preserve">6-September-2024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6"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r>
        <w:tc>
          <w:p>
            <w:pPr>
              <w:pStyle w:val="Compact"/>
              <w:jc w:val="left"/>
            </w:pPr>
            <w:r>
              <w:t xml:space="preserve">2.0.4</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2.0.5</w:t>
            </w:r>
          </w:p>
        </w:tc>
        <w:tc>
          <w:p>
            <w:pPr>
              <w:pStyle w:val="Compact"/>
              <w:jc w:val="left"/>
            </w:pPr>
            <w:r>
              <w:t xml:space="preserve">SC73</w:t>
            </w:r>
          </w:p>
        </w:tc>
        <w:tc>
          <w:p>
            <w:pPr>
              <w:pStyle w:val="Compact"/>
              <w:jc w:val="left"/>
            </w:pPr>
            <w:r>
              <w:t xml:space="preserve">Compromised and weak keys</w:t>
            </w:r>
          </w:p>
        </w:tc>
        <w:tc>
          <w:p>
            <w:pPr>
              <w:pStyle w:val="Compact"/>
              <w:jc w:val="left"/>
            </w:pPr>
            <w:r>
              <w:t xml:space="preserve">3-May-2024</w:t>
            </w:r>
          </w:p>
        </w:tc>
        <w:tc>
          <w:p>
            <w:pPr>
              <w:pStyle w:val="Compact"/>
              <w:jc w:val="left"/>
            </w:pPr>
            <w:r>
              <w:t xml:space="preserve">1-July-2024</w:t>
            </w:r>
          </w:p>
        </w:tc>
      </w:tr>
      <w:tr>
        <w:tc>
          <w:p>
            <w:pPr>
              <w:pStyle w:val="Compact"/>
              <w:jc w:val="left"/>
            </w:pPr>
            <w:r>
              <w:t xml:space="preserve">2.0.6</w:t>
            </w:r>
          </w:p>
        </w:tc>
        <w:tc>
          <w:p>
            <w:pPr>
              <w:pStyle w:val="Compact"/>
              <w:jc w:val="left"/>
            </w:pPr>
            <w:r>
              <w:t xml:space="preserve">SC75</w:t>
            </w:r>
          </w:p>
        </w:tc>
        <w:tc>
          <w:p>
            <w:pPr>
              <w:pStyle w:val="Compact"/>
              <w:jc w:val="left"/>
            </w:pPr>
            <w:r>
              <w:t xml:space="preserve">Pre-sign linting</w:t>
            </w:r>
          </w:p>
        </w:tc>
        <w:tc>
          <w:p>
            <w:pPr>
              <w:pStyle w:val="Compact"/>
              <w:jc w:val="left"/>
            </w:pPr>
            <w:r>
              <w:t xml:space="preserve">28-June-2024</w:t>
            </w:r>
          </w:p>
        </w:tc>
        <w:tc>
          <w:p>
            <w:pPr>
              <w:pStyle w:val="Compact"/>
              <w:jc w:val="left"/>
            </w:pPr>
            <w:r>
              <w:t xml:space="preserve">6-August-2024</w:t>
            </w:r>
          </w:p>
        </w:tc>
      </w:tr>
      <w:tr>
        <w:tc>
          <w:p>
            <w:pPr>
              <w:pStyle w:val="Compact"/>
              <w:jc w:val="left"/>
            </w:pPr>
            <w:r>
              <w:t xml:space="preserve">2.0.7</w:t>
            </w:r>
          </w:p>
        </w:tc>
        <w:tc>
          <w:p>
            <w:pPr>
              <w:pStyle w:val="Compact"/>
              <w:jc w:val="left"/>
            </w:pPr>
            <w:r>
              <w:t xml:space="preserve">SC67</w:t>
            </w:r>
          </w:p>
        </w:tc>
        <w:tc>
          <w:p>
            <w:pPr>
              <w:pStyle w:val="Compact"/>
              <w:jc w:val="left"/>
            </w:pPr>
            <w:r>
              <w:t xml:space="preserve">Require Multi-Perspective Issuance Corroboration</w:t>
            </w:r>
          </w:p>
        </w:tc>
        <w:tc>
          <w:p>
            <w:pPr>
              <w:pStyle w:val="Compact"/>
              <w:jc w:val="left"/>
            </w:pPr>
            <w:r>
              <w:t xml:space="preserve">2-August-2024</w:t>
            </w:r>
          </w:p>
        </w:tc>
        <w:tc>
          <w:p>
            <w:pPr>
              <w:pStyle w:val="Compact"/>
              <w:jc w:val="left"/>
            </w:pPr>
            <w:r>
              <w:t xml:space="preserve">6-September-2024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261"/>
        <w:gridCol w:w="440"/>
        <w:gridCol w:w="721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r>
        <w:tc>
          <w:p>
            <w:pPr>
              <w:pStyle w:val="Compact"/>
              <w:jc w:val="left"/>
            </w:pPr>
            <w:r>
              <w:t xml:space="preserve">2024-09-15</w:t>
            </w:r>
          </w:p>
        </w:tc>
        <w:tc>
          <w:p>
            <w:pPr>
              <w:pStyle w:val="Compact"/>
              <w:jc w:val="left"/>
            </w:pPr>
            <w:r>
              <w:t xml:space="preserve">4.3.1.2</w:t>
            </w:r>
          </w:p>
        </w:tc>
        <w:tc>
          <w:p>
            <w:pPr>
              <w:pStyle w:val="Compact"/>
              <w:jc w:val="left"/>
            </w:pPr>
            <w:r>
              <w:t xml:space="preserve">The CA SHOULD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4.3.1.2</w:t>
            </w:r>
          </w:p>
        </w:tc>
        <w:tc>
          <w:p>
            <w:pPr>
              <w:pStyle w:val="Compact"/>
              <w:jc w:val="left"/>
            </w:pPr>
            <w:r>
              <w:t xml:space="preserve">The CA SHALL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8.7</w:t>
            </w:r>
          </w:p>
        </w:tc>
        <w:tc>
          <w:p>
            <w:pPr>
              <w:pStyle w:val="Compact"/>
              <w:jc w:val="left"/>
            </w:pPr>
            <w:r>
              <w:t xml:space="preserve">The CA SHOULD use a Linting process to test the technical accuracy of already issued Certificates against the sample set chosen for Self-Audits.</w:t>
            </w:r>
          </w:p>
        </w:tc>
      </w:tr>
      <w:tr>
        <w:tc>
          <w:p>
            <w:pPr>
              <w:pStyle w:val="Compact"/>
              <w:jc w:val="left"/>
            </w:pPr>
            <w:r>
              <w:t xml:space="preserve">2025-03-15</w:t>
            </w:r>
          </w:p>
        </w:tc>
        <w:tc>
          <w:p>
            <w:pPr>
              <w:pStyle w:val="Compact"/>
              <w:jc w:val="left"/>
            </w:pPr>
            <w:r>
              <w:t xml:space="preserve">3.2.2.9</w:t>
            </w:r>
          </w:p>
        </w:tc>
        <w:tc>
          <w:p>
            <w:pPr>
              <w:pStyle w:val="Compact"/>
              <w:jc w:val="left"/>
            </w:pPr>
            <w:r>
              <w:t xml:space="preserve">CAs MUST corroborate the results of domain validation and CAA checks from multiple Network Perspectives where specified.</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5"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8"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Linting</w:t>
      </w:r>
      <w:r>
        <w:t xml:space="preserve">: A process in which the content of digitally signed data such as a Precertificate [RFC 6962], Certificate, Certificate Revocation List, or OCSP response, or data-to-be-signed object such as a</w:t>
      </w:r>
      <w:r>
        <w:t xml:space="preserve"> </w:t>
      </w:r>
      <w:r>
        <w:rPr>
          <w:rStyle w:val="VerbatimChar"/>
        </w:rPr>
        <w:t xml:space="preserve">tbsCertificate</w:t>
      </w:r>
      <w:r>
        <w:t xml:space="preserve"> </w:t>
      </w:r>
      <w:r>
        <w:t xml:space="preserve">(as described in</w:t>
      </w:r>
      <w:r>
        <w:t xml:space="preserve"> </w:t>
      </w:r>
      <w:hyperlink r:id="rId44">
        <w:r>
          <w:rPr>
            <w:rStyle w:val="Hyperlink"/>
          </w:rPr>
          <w:t xml:space="preserve">RFC 5280, Section 4.1.1.1</w:t>
        </w:r>
      </w:hyperlink>
      <w:r>
        <w:t xml:space="preserve">) is checked for conformance with the profiles and requirements defined in these Requirements.</w:t>
      </w:r>
    </w:p>
    <w:p>
      <w:pPr>
        <w:pStyle w:val="BodyText"/>
      </w:pPr>
      <w:r>
        <w:rPr>
          <w:bCs/>
          <w:b/>
        </w:rPr>
        <w:t xml:space="preserve">Multi-Perspective Issuance Corroboration</w:t>
      </w:r>
      <w:r>
        <w:t xml:space="preserve">: A process by which the determinations made during domain validation and CAA checking by the Primary Network Perspective are corroborated by other Network Perspectives before Certificate issuance.</w:t>
      </w:r>
    </w:p>
    <w:p>
      <w:pPr>
        <w:pStyle w:val="BodyText"/>
      </w:pPr>
      <w:r>
        <w:rPr>
          <w:bCs/>
          <w:b/>
        </w:rPr>
        <w:t xml:space="preserve">Network Perspective</w:t>
      </w:r>
      <w:r>
        <w:t xml:space="preserve">: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Primary Network Perspective</w:t>
      </w:r>
      <w:r>
        <w:t xml:space="preserve">: The Network Perspective used by the CA to make the determination of 1) the CA’s authority to issue a Certificate for the requested domain(s) or IP address(es) and 2) the Applicant’s authority and/or domain authorization or control of the requested domain(s) or IP address(es).</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5">
        <w:r>
          <w:rPr>
            <w:rStyle w:val="Hyperlink"/>
          </w:rPr>
          <w:t xml:space="preserve">https://www.iana.org/assignments/iana-ipv4-special-registry/iana-ipv4-special-registry.xhtml</w:t>
        </w:r>
      </w:hyperlink>
    </w:p>
    <w:p>
      <w:pPr>
        <w:pStyle w:val="BodyText"/>
      </w:pPr>
      <w:hyperlink r:id="rId46">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7">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8"/>
    <w:bookmarkStart w:id="49"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9"/>
    <w:bookmarkStart w:id="53"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50">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1">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2">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3"/>
    <w:bookmarkStart w:id="54"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4"/>
    <w:bookmarkEnd w:id="55"/>
    <w:bookmarkEnd w:id="56"/>
    <w:bookmarkStart w:id="62"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7"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7"/>
    <w:bookmarkStart w:id="59"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8">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9"/>
    <w:bookmarkStart w:id="60"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60"/>
    <w:bookmarkStart w:id="61"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1"/>
    <w:bookmarkEnd w:id="62"/>
    <w:bookmarkStart w:id="121" w:name="X8863bdafba66878afc88bdae54f80c7438f2d24"/>
    <w:p>
      <w:pPr>
        <w:pStyle w:val="Heading1"/>
      </w:pPr>
      <w:r>
        <w:t xml:space="preserve">3. IDENTIFICATION AND AUTHENTICATION</w:t>
      </w:r>
    </w:p>
    <w:bookmarkStart w:id="69" w:name="Xf786f9c7655c91d53d3be6fd5acd158760b27b1"/>
    <w:p>
      <w:pPr>
        <w:pStyle w:val="Heading2"/>
      </w:pPr>
      <w:r>
        <w:t xml:space="preserve">3.1 Naming</w:t>
      </w:r>
    </w:p>
    <w:bookmarkStart w:id="63" w:name="Xed774de95f03f0e31c0c07879236ab1bfe9bd11"/>
    <w:p>
      <w:pPr>
        <w:pStyle w:val="Heading3"/>
      </w:pPr>
      <w:r>
        <w:t xml:space="preserve">3.1.1 Types of names</w:t>
      </w:r>
    </w:p>
    <w:bookmarkEnd w:id="63"/>
    <w:bookmarkStart w:id="64" w:name="X8e7d7751836ece8a884125a2965c5cb9e977707"/>
    <w:p>
      <w:pPr>
        <w:pStyle w:val="Heading3"/>
      </w:pPr>
      <w:r>
        <w:t xml:space="preserve">3.1.2 Need for names to be meaningful</w:t>
      </w:r>
    </w:p>
    <w:bookmarkEnd w:id="64"/>
    <w:bookmarkStart w:id="65" w:name="X9d5c3d11a9b11b814ce0d979d8070e0bb02a176"/>
    <w:p>
      <w:pPr>
        <w:pStyle w:val="Heading3"/>
      </w:pPr>
      <w:r>
        <w:t xml:space="preserve">3.1.3 Anonymity or pseudonymity of subscribers</w:t>
      </w:r>
    </w:p>
    <w:bookmarkEnd w:id="65"/>
    <w:bookmarkStart w:id="66" w:name="Xd75df41192a8b22e4274876ae42e0527837ae10"/>
    <w:p>
      <w:pPr>
        <w:pStyle w:val="Heading3"/>
      </w:pPr>
      <w:r>
        <w:t xml:space="preserve">3.1.4 Rules for interpreting various name forms</w:t>
      </w:r>
    </w:p>
    <w:bookmarkEnd w:id="66"/>
    <w:bookmarkStart w:id="67" w:name="Xa1ac54330933c10cff72bb358a4e8c1feaa6d5a"/>
    <w:p>
      <w:pPr>
        <w:pStyle w:val="Heading3"/>
      </w:pPr>
      <w:r>
        <w:t xml:space="preserve">3.1.5 Uniqueness of names</w:t>
      </w:r>
    </w:p>
    <w:bookmarkEnd w:id="67"/>
    <w:bookmarkStart w:id="68" w:name="X5cf81b88921fe36972782047b214b6fcebb7665"/>
    <w:p>
      <w:pPr>
        <w:pStyle w:val="Heading3"/>
      </w:pPr>
      <w:r>
        <w:t xml:space="preserve">3.1.6 Recognition, authentication, and role of trademarks</w:t>
      </w:r>
    </w:p>
    <w:bookmarkEnd w:id="68"/>
    <w:bookmarkEnd w:id="69"/>
    <w:bookmarkStart w:id="116" w:name="X717456f35997daf739a755e62f9736e96045222"/>
    <w:p>
      <w:pPr>
        <w:pStyle w:val="Heading2"/>
      </w:pPr>
      <w:r>
        <w:t xml:space="preserve">3.2 Initial identity validation</w:t>
      </w:r>
    </w:p>
    <w:bookmarkStart w:id="70" w:name="X58ba043e5104c081012981bc400850498a0ed19"/>
    <w:p>
      <w:pPr>
        <w:pStyle w:val="Heading3"/>
      </w:pPr>
      <w:r>
        <w:t xml:space="preserve">3.2.1 Method to prove possession of private key</w:t>
      </w:r>
    </w:p>
    <w:bookmarkEnd w:id="70"/>
    <w:bookmarkStart w:id="111"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1"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1"/>
    <w:bookmarkStart w:id="72"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2"/>
    <w:bookmarkStart w:id="73"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3"/>
    <w:bookmarkStart w:id="97"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4"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4"/>
    <w:bookmarkStart w:id="75"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5"/>
    <w:bookmarkStart w:id="76"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6"/>
    <w:bookmarkStart w:id="77"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7"/>
    <w:bookmarkStart w:id="78"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9"/>
    <w:bookmarkStart w:id="80"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3.2.2.14.3 of the EV Guidelines).</w:t>
      </w:r>
    </w:p>
    <w:p>
      <w:pPr>
        <w:pStyle w:val="FirstParagraph"/>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0"/>
    <w:bookmarkStart w:id="81"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IP address as the Primary Network Perspective.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1"/>
    <w:bookmarkStart w:id="82"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3"/>
    <w:bookmarkStart w:id="84" w:name="Xab0a44283fc9566d9c672faa597e66dc9c234d6"/>
    <w:p>
      <w:pPr>
        <w:pStyle w:val="Heading5"/>
      </w:pPr>
      <w:r>
        <w:t xml:space="preserve">3.2.2.4.11 Any Other Method</w:t>
      </w:r>
    </w:p>
    <w:p>
      <w:pPr>
        <w:pStyle w:val="FirstParagraph"/>
      </w:pPr>
      <w:r>
        <w:t xml:space="preserve">This method has been retired and MUST NOT be used.</w:t>
      </w:r>
    </w:p>
    <w:bookmarkEnd w:id="84"/>
    <w:bookmarkStart w:id="85"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0"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90"/>
    <w:bookmarkStart w:id="94"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Start w:id="96"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6"/>
    <w:bookmarkEnd w:id="97"/>
    <w:bookmarkStart w:id="105"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8"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p>
      <w:pPr>
        <w:pStyle w:val="FirstParagraph"/>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bookmarkEnd w:id="98"/>
    <w:bookmarkStart w:id="99"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9"/>
    <w:bookmarkStart w:id="100"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FQDN as the Primary Network Perspective.</w:t>
      </w:r>
    </w:p>
    <w:bookmarkEnd w:id="100"/>
    <w:bookmarkStart w:id="101"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1"/>
    <w:bookmarkStart w:id="102"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2"/>
    <w:bookmarkStart w:id="103"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bookmarkEnd w:id="103"/>
    <w:bookmarkStart w:id="104"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bookmarkEnd w:id="104"/>
    <w:bookmarkEnd w:id="105"/>
    <w:bookmarkStart w:id="107"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6">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7"/>
    <w:bookmarkStart w:id="108"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8"/>
    <w:bookmarkStart w:id="109"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These practices MUST be described in Section 4.2 of the CA’s Certificate Policy and/or Certification Practice Statement, including specifying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w:t>
      </w:r>
    </w:p>
    <w:p>
      <w:pPr>
        <w:pStyle w:val="BodyText"/>
      </w:pPr>
      <w:r>
        <w:t xml:space="preserve">Some methods relied upon for validating the Applicant’s ownership or control of the subject domain(s) (see</w:t>
      </w:r>
      <w:r>
        <w:t xml:space="preserve"> </w:t>
      </w:r>
      <w:hyperlink w:anchor="X5e8fa04e2cd845b31d90f2e711d620bbd1630c8">
        <w:r>
          <w:rPr>
            <w:rStyle w:val="Hyperlink"/>
          </w:rPr>
          <w:t xml:space="preserve">Section 3.2.2.4</w:t>
        </w:r>
      </w:hyperlink>
      <w:r>
        <w:t xml:space="preserve">) or IP address(es) (see</w:t>
      </w:r>
      <w:r>
        <w:t xml:space="preserve"> </w:t>
      </w:r>
      <w:hyperlink w:anchor="X1d2a5979132cd8b96328f2b635437a249826222">
        <w:r>
          <w:rPr>
            <w:rStyle w:val="Hyperlink"/>
          </w:rPr>
          <w:t xml:space="preserve">Section 3.2.2.5</w:t>
        </w:r>
      </w:hyperlink>
      <w:r>
        <w:t xml:space="preserve">) to be listed in a certificate require CAA records to be retrieved and processed from additional remote Network Perspectives before Certificate issuance (see</w:t>
      </w:r>
      <w:r>
        <w:t xml:space="preserve"> </w:t>
      </w:r>
      <w:hyperlink w:anchor="Xd7307c896a4b68c49f81f56ac41fca682deb4b5">
        <w:r>
          <w:rPr>
            <w:rStyle w:val="Hyperlink"/>
          </w:rPr>
          <w:t xml:space="preserve">Section 3.2.2.9</w:t>
        </w:r>
      </w:hyperlink>
      <w:r>
        <w:t xml:space="preserve">).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pPr>
        <w:pStyle w:val="BodyText"/>
      </w:pPr>
      <w:r>
        <w:t xml:space="preserve">CAs MAY check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If the CA issues a certificate after processing a CAA record, it MUST do so within the TTL of the CAA record, or 8 hours, whichever is greater.</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bookmarkEnd w:id="109"/>
    <w:bookmarkStart w:id="110" w:name="Xd7307c896a4b68c49f81f56ac41fca682deb4b5"/>
    <w:p>
      <w:pPr>
        <w:pStyle w:val="Heading4"/>
      </w:pPr>
      <w:r>
        <w:t xml:space="preserve">3.2.2.9 Multi-Perspective Issuance Corroboration</w:t>
      </w:r>
    </w:p>
    <w:p>
      <w:pPr>
        <w:pStyle w:val="FirstParagraph"/>
      </w:pPr>
      <w:r>
        <w:t xml:space="preserve">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pPr>
        <w:pStyle w:val="BodyText"/>
      </w:pPr>
      <w:r>
        <w:t xml:space="preserve">The CA MAY use either the same set, or different sets of Network Perspectives when performing Multi-Perspective Issuance Corroboration for the required 1) Domain Authorization or Control and 2) CAA Record checks.</w:t>
      </w:r>
    </w:p>
    <w:p>
      <w:pPr>
        <w:pStyle w:val="BodyText"/>
      </w:pPr>
      <w:r>
        <w:t xml:space="preserve">The set of responses from the relied upon Network Perspectives MUST provide the CA with the necessary information to allow it to affirmatively assess:</w:t>
      </w:r>
      <w:r>
        <w:t xml:space="preserve"> </w:t>
      </w:r>
      <w:r>
        <w:t xml:space="preserve">- a. the presence of the expected 1) Random Value, 2) Request Token, 3) IP Address, or 4) Contact Address, as required by the relied upon validation method specified in Sections 3.2.2.4 and 3.2.2.5; and</w:t>
      </w:r>
      <w:r>
        <w:t xml:space="preserve"> </w:t>
      </w:r>
      <w:r>
        <w:t xml:space="preserve">- b. the CA’s authority to issue to the requested domain(s), as specified in Section 3.2.2.8.</w:t>
      </w:r>
    </w:p>
    <w:p>
      <w:pPr>
        <w:pStyle w:val="BodyText"/>
      </w:pP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w:t>
      </w:r>
      <w:r>
        <w:t xml:space="preserve">describe the validation methods that require the use of Multi-Perspective Issuance Corroboration and how a Network Perspective can corroborate the outcomes determined by the Primary Network Perspective.</w:t>
      </w:r>
    </w:p>
    <w:p>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pPr>
        <w:pStyle w:val="BodyText"/>
      </w:pPr>
      <w:r>
        <w:t xml:space="preserve">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States, Provinces, or Countries the DNS resolvers reside in MUST be at least 500 km. The location of a DNS resolver is determined by the point where unencapsulated outbound DNS queries are typically first handed off to the network infrastructure providing Internet connectivity to that DNS resolver.</w:t>
      </w:r>
    </w:p>
    <w:p>
      <w:pPr>
        <w:pStyle w:val="BodyText"/>
      </w:pPr>
      <w:r>
        <w:t xml:space="preserve">CAs MAY immediately retry Multi-Perspective Issuance Corroboration using the same validation method or an alternative method (e.g., a CA can immediately retry validation using</w:t>
      </w:r>
      <w:r>
        <w:t xml:space="preserve"> </w:t>
      </w:r>
      <w:r>
        <w:t xml:space="preserve">“</w:t>
      </w:r>
      <w:r>
        <w:t xml:space="preserve">Email to DNS TXT Contact</w:t>
      </w:r>
      <w:r>
        <w:t xml:space="preserve">”</w:t>
      </w:r>
      <w:r>
        <w:t xml:space="preserve"> </w:t>
      </w:r>
      <w:r>
        <w:t xml:space="preserve">if</w:t>
      </w:r>
      <w:r>
        <w:t xml:space="preserve"> </w:t>
      </w:r>
      <w:r>
        <w:t xml:space="preserve">“</w:t>
      </w:r>
      <w:r>
        <w:t xml:space="preserve">Agreed-Upon Change to Website - ACME</w:t>
      </w:r>
      <w:r>
        <w:t xml:space="preserve">”</w:t>
      </w:r>
      <w:r>
        <w:t xml:space="preserve"> </w:t>
      </w:r>
      <w:r>
        <w:t xml:space="preserve">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pPr>
        <w:pStyle w:val="BodyText"/>
      </w:pPr>
      <w:r>
        <w:t xml:space="preserve">The</w:t>
      </w:r>
      <w:r>
        <w:t xml:space="preserve"> </w:t>
      </w:r>
      <w:r>
        <w:t xml:space="preserve">“</w:t>
      </w:r>
      <w:r>
        <w:t xml:space="preserve">Quorum Requirements</w:t>
      </w:r>
      <w:r>
        <w:t xml:space="preserve">”</w:t>
      </w:r>
      <w:r>
        <w:t xml:space="preserve"> </w:t>
      </w:r>
      <w:r>
        <w:t xml:space="preserve">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 two States, Provinces, or Countries they reside in is at least 500 km. Network Perspectives are considered</w:t>
      </w:r>
      <w:r>
        <w:t xml:space="preserve"> </w:t>
      </w:r>
      <w:r>
        <w:t xml:space="preserve">“</w:t>
      </w:r>
      <w:r>
        <w:t xml:space="preserve">remote</w:t>
      </w:r>
      <w:r>
        <w:t xml:space="preserve">”</w:t>
      </w:r>
      <w:r>
        <w:t xml:space="preserve"> </w:t>
      </w:r>
      <w:r>
        <w:t xml:space="preserve">when they are distinct from the Primary Network Perspective and the other Network Perspectives represented in a quorum.</w:t>
      </w:r>
    </w:p>
    <w:p>
      <w:pPr>
        <w:pStyle w:val="BodyText"/>
      </w:pPr>
      <w:r>
        <w:t xml:space="preserve">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pPr>
        <w:pStyle w:val="TableCaption"/>
      </w:pPr>
      <w:r>
        <w:t xml:space="preserve">Quorum Requirements</w:t>
      </w:r>
    </w:p>
    <w:tbl>
      <w:tblPr>
        <w:tblStyle w:val="Table"/>
        <w:tblW w:type="pct" w:w="5000.0"/>
        <w:tblLook w:firstRow="1" w:lastRow="0" w:firstColumn="0" w:lastColumn="0" w:noHBand="0" w:noVBand="0"/>
        <w:tblCaption w:val="Quorum Requirements"/>
      </w:tblPr>
      <w:tblGrid>
        <w:gridCol w:w="3960"/>
        <w:gridCol w:w="3960"/>
      </w:tblGrid>
      <w:tr>
        <w:trPr>
          <w:cnfStyle w:firstRow="1"/>
        </w:trPr>
        <w:tc>
          <w:tcPr>
            <w:tcBorders>
              <w:bottom w:val="single"/>
            </w:tcBorders>
            <w:vAlign w:val="bottom"/>
          </w:tcPr>
          <w:p>
            <w:pPr>
              <w:pStyle w:val="Compact"/>
              <w:jc w:val="left"/>
            </w:pPr>
            <w:r>
              <w:t xml:space="preserve"># of Distinct Remote Network Perspectives Used</w:t>
            </w:r>
          </w:p>
        </w:tc>
        <w:tc>
          <w:tcPr>
            <w:tcBorders>
              <w:bottom w:val="single"/>
            </w:tcBorders>
            <w:vAlign w:val="bottom"/>
          </w:tcPr>
          <w:p>
            <w:pPr>
              <w:pStyle w:val="Compact"/>
              <w:jc w:val="left"/>
            </w:pPr>
            <w:r>
              <w:t xml:space="preserve"># of Allowed non-Corroborations</w:t>
            </w:r>
          </w:p>
        </w:tc>
      </w:tr>
      <w:tr>
        <w:tc>
          <w:p>
            <w:pPr>
              <w:pStyle w:val="Compact"/>
              <w:jc w:val="left"/>
            </w:pPr>
            <w:r>
              <w:t xml:space="preserve">2-5</w:t>
            </w:r>
          </w:p>
        </w:tc>
        <w:tc>
          <w:p>
            <w:pPr>
              <w:pStyle w:val="Compact"/>
              <w:jc w:val="left"/>
            </w:pPr>
            <w:r>
              <w:t xml:space="preserve">1</w:t>
            </w:r>
          </w:p>
        </w:tc>
      </w:tr>
      <w:tr>
        <w:tc>
          <w:p>
            <w:pPr>
              <w:pStyle w:val="Compact"/>
              <w:jc w:val="left"/>
            </w:pPr>
            <w:r>
              <w:t xml:space="preserve">6+</w:t>
            </w:r>
          </w:p>
        </w:tc>
        <w:tc>
          <w:p>
            <w:pPr>
              <w:pStyle w:val="Compact"/>
              <w:jc w:val="left"/>
            </w:pPr>
            <w:r>
              <w:t xml:space="preserve">2</w:t>
            </w:r>
          </w:p>
        </w:tc>
      </w:tr>
    </w:tbl>
    <w:p>
      <w:pPr>
        <w:pStyle w:val="BodyText"/>
      </w:pPr>
      <w:r>
        <w:t xml:space="preserve">Remote Network Perspectives performing Multi-Perspective Issuance Corroboration:</w:t>
      </w:r>
    </w:p>
    <w:p>
      <w:pPr>
        <w:pStyle w:val="BodyText"/>
      </w:pPr>
      <w:r>
        <w:t xml:space="preserve">MUST:</w:t>
      </w:r>
      <w:r>
        <w:t xml:space="preserve"> </w:t>
      </w:r>
      <w:r>
        <w:t xml:space="preserve">- Network Hardening</w:t>
      </w:r>
      <w:r>
        <w:t xml:space="preserve"> </w:t>
      </w:r>
      <w:r>
        <w:t xml:space="preserve">- Rely upon networks (e.g., Internet Service Providers or Cloud Provider Networks) implementing measures to mitigate BGP routing incidents in the global Internet routing system for providing internet connectivity to the Network Perspective.</w:t>
      </w:r>
    </w:p>
    <w:p>
      <w:pPr>
        <w:pStyle w:val="BodyText"/>
      </w:pPr>
      <w:r>
        <w:t xml:space="preserve">SHOULD:</w:t>
      </w:r>
      <w:r>
        <w:t xml:space="preserve"> </w:t>
      </w:r>
      <w:r>
        <w:t xml:space="preserve">- Facility &amp; Service Provider Requirements</w:t>
      </w:r>
      <w:r>
        <w:t xml:space="preserve"> </w:t>
      </w:r>
      <w:r>
        <w:t xml:space="preserve">- Be hosted from an ISO/IEC 27001 certified facility or equivalent security framework independently audited and certified or reported.</w:t>
      </w:r>
      <w:r>
        <w:t xml:space="preserve"> </w:t>
      </w:r>
      <w:r>
        <w:t xml:space="preserve">- Rely on services covered in one of the following reports: System and Organization Controls 2 (SOC 2), IASE 3000, ENISA 715, FedRAMP Moderate, C5:2020, CSA STAR CCM, or equivalent services framework independently audited and certified or reported.</w:t>
      </w:r>
      <w:r>
        <w:t xml:space="preserve"> </w:t>
      </w:r>
      <w:r>
        <w:t xml:space="preserve">- Vulnerability Detection and Patch Management</w:t>
      </w:r>
      <w:r>
        <w:t xml:space="preserve"> </w:t>
      </w:r>
      <w:r>
        <w:t xml:space="preserve">- Implement intrusion detection and prevention controls to protect against common network and system threats.</w:t>
      </w:r>
      <w:r>
        <w:t xml:space="preserve"> </w:t>
      </w:r>
      <w:r>
        <w:t xml:space="preserve">- Document and follow a vulnerability correction process that addresses the identification, review, response, and remediation of vulnerabilities.</w:t>
      </w:r>
      <w:r>
        <w:t xml:space="preserve"> </w:t>
      </w:r>
      <w:r>
        <w:t xml:space="preserve">- Undergo or perform a Vulnerability Scan at least every three (3) months.</w:t>
      </w:r>
      <w:r>
        <w:t xml:space="preserve"> </w:t>
      </w:r>
      <w:r>
        <w:t xml:space="preserve">- Undergo a Penetration Test on at least an annual basis.</w:t>
      </w:r>
      <w:r>
        <w:t xml:space="preserve"> </w:t>
      </w:r>
      <w:r>
        <w:t xml:space="preserve">- Apply recommended security patches within six (6) months of the security patch’s availability, unless the CA documents that the security patch would introduce additional vulnerabilities or instabilities that outweigh the benefits of applying the security patch.</w:t>
      </w:r>
      <w:r>
        <w:t xml:space="preserve"> </w:t>
      </w:r>
      <w:r>
        <w:t xml:space="preserve">- System Hardening</w:t>
      </w:r>
      <w:r>
        <w:t xml:space="preserve"> </w:t>
      </w:r>
      <w:r>
        <w:t xml:space="preserve">- Disable all accounts, applications, services, protocols, and ports that are not used.</w:t>
      </w:r>
      <w:r>
        <w:t xml:space="preserve"> </w:t>
      </w:r>
      <w:r>
        <w:t xml:space="preserve">- Implement multi-factor authentication for all user accounts.</w:t>
      </w:r>
      <w:r>
        <w:t xml:space="preserve"> </w:t>
      </w:r>
      <w:r>
        <w:t xml:space="preserve">- Network Hardening</w:t>
      </w:r>
      <w:r>
        <w:t xml:space="preserve"> </w:t>
      </w:r>
      <w:r>
        <w:t xml:space="preserve">- Configure each network boundary control (firewall, switch, router, gateway, or other network control device or system) with rules that support only the services, protocols, ports, and communications identified as necessary to its operations.</w:t>
      </w:r>
      <w:r>
        <w:t xml:space="preserve"> </w:t>
      </w:r>
      <w:r>
        <w:t xml:space="preserve">- 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pPr>
        <w:pStyle w:val="BodyText"/>
      </w:pPr>
      <w:r>
        <w:t xml:space="preserve">Beyond the above considerations, computing systems performing Multi-Perspective Issuance Corroboration are considered outside of the audit scope described in Section 8 of these Requirements.</w:t>
      </w:r>
    </w:p>
    <w:p>
      <w:pPr>
        <w:pStyle w:val="BodyText"/>
      </w:pPr>
      <w:r>
        <w:t xml:space="preserve">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pPr>
        <w:pStyle w:val="BodyText"/>
      </w:pPr>
      <w:r>
        <w:t xml:space="preserve">Phased Implementation Timeline:</w:t>
      </w:r>
      <w:r>
        <w:t xml:space="preserve"> </w:t>
      </w:r>
      <w:r>
        <w:t xml:space="preserve">-</w:t>
      </w:r>
      <w:r>
        <w:t xml:space="preserve"> </w:t>
      </w:r>
      <w:r>
        <w:rPr>
          <w:iCs/>
          <w:i/>
        </w:rPr>
        <w:t xml:space="preserve">Effective September 15, 2024</w:t>
      </w:r>
      <w:r>
        <w:t xml:space="preserve">, the CA SHOULD implement Multi-Perspective Issuance Corroboration using at least two (2) remote Network Perspectives.</w:t>
      </w:r>
      <w:r>
        <w:t xml:space="preserve"> </w:t>
      </w:r>
      <w:r>
        <w:t xml:space="preserve">-</w:t>
      </w:r>
      <w:r>
        <w:t xml:space="preserve"> </w:t>
      </w:r>
      <w:r>
        <w:rPr>
          <w:iCs/>
          <w:i/>
        </w:rPr>
        <w:t xml:space="preserve">Effective March 15, 2025</w:t>
      </w:r>
      <w:r>
        <w:t xml:space="preserve">,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w:t>
      </w:r>
      <w:r>
        <w:t xml:space="preserve">“</w:t>
      </w:r>
      <w:r>
        <w:t xml:space="preserve">non-corroborations</w:t>
      </w:r>
      <w:r>
        <w:t xml:space="preserve">”</w:t>
      </w:r>
      <w:r>
        <w:t xml:space="preserve">) is greater than allowed in the Quorum Requirements table.</w:t>
      </w:r>
      <w:r>
        <w:br/>
      </w:r>
      <w:r>
        <w:t xml:space="preserve">-</w:t>
      </w:r>
      <w:r>
        <w:t xml:space="preserve"> </w:t>
      </w:r>
      <w:r>
        <w:rPr>
          <w:iCs/>
          <w:i/>
        </w:rPr>
        <w:t xml:space="preserve">Effective September 15, 2025</w:t>
      </w:r>
      <w:r>
        <w:t xml:space="preserve">, the CA MUST implement Multi-Perspective Issuance Corroboration using at least two (2) remote Network Perspectives. The CA MUST NOT proceed with certificate issuance if the number of non-corroborations is greater than allowed in the Quorum Requirements table.</w:t>
      </w:r>
      <w:r>
        <w:t xml:space="preserve"> </w:t>
      </w:r>
      <w:r>
        <w:t xml:space="preserve">-</w:t>
      </w:r>
      <w:r>
        <w:t xml:space="preserve"> </w:t>
      </w:r>
      <w:r>
        <w:rPr>
          <w:iCs/>
          <w:i/>
        </w:rPr>
        <w:t xml:space="preserve">Effective March 15, 2026</w:t>
      </w:r>
      <w:r>
        <w:t xml:space="preserve">, the CA MUST implement Multi-Perspective Issuance Corroboration using at least three (3)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br/>
      </w:r>
      <w:r>
        <w:t xml:space="preserve">-</w:t>
      </w:r>
      <w:r>
        <w:t xml:space="preserve"> </w:t>
      </w:r>
      <w:r>
        <w:rPr>
          <w:iCs/>
          <w:i/>
        </w:rPr>
        <w:t xml:space="preserve">Effective June 15, 2026</w:t>
      </w:r>
      <w:r>
        <w:t xml:space="preserve">, the CA MUST implement Multi-Perspective Issuance Corroboration using at least four (4)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t xml:space="preserve"> </w:t>
      </w:r>
      <w:r>
        <w:t xml:space="preserve">-</w:t>
      </w:r>
      <w:r>
        <w:t xml:space="preserve"> </w:t>
      </w:r>
      <w:r>
        <w:rPr>
          <w:iCs/>
          <w:i/>
        </w:rPr>
        <w:t xml:space="preserve">Effective December 15, 2026</w:t>
      </w:r>
      <w:r>
        <w:t xml:space="preserve">, the CA MUST implement Multi-Perspective Issuance Corroboration using at least five (5)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p>
    <w:bookmarkEnd w:id="110"/>
    <w:bookmarkEnd w:id="111"/>
    <w:bookmarkStart w:id="112"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2"/>
    <w:bookmarkStart w:id="113" w:name="X90728061f9867a90bf67e006f375b28a50b5101"/>
    <w:p>
      <w:pPr>
        <w:pStyle w:val="Heading3"/>
      </w:pPr>
      <w:r>
        <w:t xml:space="preserve">3.2.4 Non-verified subscriber information</w:t>
      </w:r>
    </w:p>
    <w:bookmarkEnd w:id="113"/>
    <w:bookmarkStart w:id="114"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4"/>
    <w:bookmarkStart w:id="115"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5"/>
    <w:bookmarkEnd w:id="116"/>
    <w:bookmarkStart w:id="119" w:name="X2dc39610f40291f0b430033932a458690ea1a6c"/>
    <w:p>
      <w:pPr>
        <w:pStyle w:val="Heading2"/>
      </w:pPr>
      <w:r>
        <w:t xml:space="preserve">3.3 Identification and authentication for re-key requests</w:t>
      </w:r>
    </w:p>
    <w:bookmarkStart w:id="117" w:name="X7309319f508392d7a7d397072abfa60a59ed0ab"/>
    <w:p>
      <w:pPr>
        <w:pStyle w:val="Heading3"/>
      </w:pPr>
      <w:r>
        <w:t xml:space="preserve">3.3.1 Identification and authentication for routine re-key</w:t>
      </w:r>
    </w:p>
    <w:bookmarkEnd w:id="117"/>
    <w:bookmarkStart w:id="118" w:name="Xb993101357c6a848b62dd30e5cc3cb2965d74e1"/>
    <w:p>
      <w:pPr>
        <w:pStyle w:val="Heading3"/>
      </w:pPr>
      <w:r>
        <w:t xml:space="preserve">3.3.2 Identification and authentication for re-key after revocation</w:t>
      </w:r>
    </w:p>
    <w:bookmarkEnd w:id="118"/>
    <w:bookmarkEnd w:id="119"/>
    <w:bookmarkStart w:id="120" w:name="X47da36e1073ff655233901fdccf3a37574e4dfd"/>
    <w:p>
      <w:pPr>
        <w:pStyle w:val="Heading2"/>
      </w:pPr>
      <w:r>
        <w:t xml:space="preserve">3.4 Identification and authentication for revocation request</w:t>
      </w:r>
    </w:p>
    <w:bookmarkEnd w:id="120"/>
    <w:bookmarkEnd w:id="121"/>
    <w:bookmarkStart w:id="193" w:name="Xe9e11c0b4264065478a4593f971903e94fcbd0a"/>
    <w:p>
      <w:pPr>
        <w:pStyle w:val="Heading1"/>
      </w:pPr>
      <w:r>
        <w:t xml:space="preserve">4. CERTIFICATE LIFE-CYCLE OPERATIONAL REQUIREMENTS</w:t>
      </w:r>
    </w:p>
    <w:bookmarkStart w:id="124" w:name="Xa29494b24bbe73bfe43f57352deb102b29afc14"/>
    <w:p>
      <w:pPr>
        <w:pStyle w:val="Heading2"/>
      </w:pPr>
      <w:r>
        <w:t xml:space="preserve">4.1 Certificate Application</w:t>
      </w:r>
    </w:p>
    <w:bookmarkStart w:id="122" w:name="X54ec4e0eb4b2336ba96ec93d27d2dd054a2f042"/>
    <w:p>
      <w:pPr>
        <w:pStyle w:val="Heading3"/>
      </w:pPr>
      <w:r>
        <w:t xml:space="preserve">4.1.1 Who can submit a certificate application</w:t>
      </w:r>
    </w:p>
    <w:p>
      <w:pPr>
        <w:pStyle w:val="FirstParagraph"/>
      </w:pPr>
      <w:r>
        <w:t xml:space="preserve">No stipulation.</w:t>
      </w:r>
    </w:p>
    <w:bookmarkEnd w:id="122"/>
    <w:bookmarkStart w:id="123"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3"/>
    <w:bookmarkEnd w:id="124"/>
    <w:bookmarkStart w:id="128" w:name="Xa7c8e55a7e2c3216481f8031a91fe70204390ba"/>
    <w:p>
      <w:pPr>
        <w:pStyle w:val="Heading2"/>
      </w:pPr>
      <w:r>
        <w:t xml:space="preserve">4.2 Certificate application processing</w:t>
      </w:r>
    </w:p>
    <w:bookmarkStart w:id="125"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5"/>
    <w:bookmarkStart w:id="126"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6"/>
    <w:bookmarkStart w:id="127" w:name="X4ee8d5897557df2144d5bc05512f68b6c909a8a"/>
    <w:p>
      <w:pPr>
        <w:pStyle w:val="Heading3"/>
      </w:pPr>
      <w:r>
        <w:t xml:space="preserve">4.2.3 Time to process certificate applications</w:t>
      </w:r>
    </w:p>
    <w:p>
      <w:pPr>
        <w:pStyle w:val="FirstParagraph"/>
      </w:pPr>
      <w:r>
        <w:t xml:space="preserve">No stipulation.</w:t>
      </w:r>
    </w:p>
    <w:bookmarkEnd w:id="127"/>
    <w:bookmarkEnd w:id="128"/>
    <w:bookmarkStart w:id="134" w:name="X08a9b2227cd4527f61b1e9cbd74a41596bb500a"/>
    <w:p>
      <w:pPr>
        <w:pStyle w:val="Heading2"/>
      </w:pPr>
      <w:r>
        <w:t xml:space="preserve">4.3 Certificate issuance</w:t>
      </w:r>
    </w:p>
    <w:bookmarkStart w:id="132" w:name="Xc7f9a4dd68eb56059f71a15cdeb0e5b3acfb8f4"/>
    <w:p>
      <w:pPr>
        <w:pStyle w:val="Heading3"/>
      </w:pPr>
      <w:r>
        <w:t xml:space="preserve">4.3.1 CA actions during certificate issuance</w:t>
      </w:r>
    </w:p>
    <w:bookmarkStart w:id="129" w:name="X3c1ae440a4e1279166f0f653dcd146e41083748"/>
    <w:p>
      <w:pPr>
        <w:pStyle w:val="Heading4"/>
      </w:pPr>
      <w:r>
        <w:t xml:space="preserve">4.3.1.1 Manual authorization of certificate issuance for Root CAs</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9"/>
    <w:bookmarkStart w:id="130" w:name="X83d7d4ddc2853a5d6b4ba24bc58bd179c68b651"/>
    <w:p>
      <w:pPr>
        <w:pStyle w:val="Heading4"/>
      </w:pPr>
      <w:r>
        <w:t xml:space="preserve">4.3.1.2 Linting of to-be-signed Certificate content</w:t>
      </w:r>
    </w:p>
    <w:p>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w:t>
      </w:r>
      <w:r>
        <w:t xml:space="preserve"> </w:t>
      </w:r>
      <w:r>
        <w:t xml:space="preserve">Effective 2024-09-15, the CA SHOULD implement such a Linting process.</w:t>
      </w:r>
      <w:r>
        <w:t xml:space="preserve"> </w:t>
      </w:r>
      <w:r>
        <w:t xml:space="preserve">Effective 2025-03-15, the CA SHALL implement such a Linting process.</w:t>
      </w:r>
    </w:p>
    <w:p>
      <w:pPr>
        <w:pStyle w:val="BodyText"/>
      </w:pPr>
      <w:r>
        <w:t xml:space="preserve">Methods used to produce a certificate containing the to-be-signed Certificate content include, but are not limited to:</w:t>
      </w:r>
    </w:p>
    <w:p>
      <w:pPr>
        <w:numPr>
          <w:ilvl w:val="0"/>
          <w:numId w:val="1027"/>
        </w:numPr>
        <w:pStyle w:val="Compact"/>
      </w:pPr>
      <w:r>
        <w:t xml:space="preserve">Sign the</w:t>
      </w:r>
      <w:r>
        <w:t xml:space="preserve"> </w:t>
      </w:r>
      <w:r>
        <w:rPr>
          <w:rStyle w:val="VerbatimChar"/>
        </w:rPr>
        <w:t xml:space="preserve">tbsCertificate</w:t>
      </w:r>
      <w:r>
        <w:t xml:space="preserve"> </w:t>
      </w:r>
      <w:r>
        <w:t xml:space="preserve">with a</w:t>
      </w:r>
      <w:r>
        <w:t xml:space="preserve"> </w:t>
      </w:r>
      <w:r>
        <w:t xml:space="preserve">“</w:t>
      </w:r>
      <w:r>
        <w:t xml:space="preserve">dummy</w:t>
      </w:r>
      <w:r>
        <w:t xml:space="preserve">”</w:t>
      </w:r>
      <w:r>
        <w:t xml:space="preserve"> </w:t>
      </w:r>
      <w:r>
        <w:t xml:space="preserve">Private Key whose Public Key component is not certified by a Certificate that chains to a publicly-trusted CA Certificate; or</w:t>
      </w:r>
    </w:p>
    <w:p>
      <w:pPr>
        <w:numPr>
          <w:ilvl w:val="0"/>
          <w:numId w:val="1027"/>
        </w:numPr>
        <w:pStyle w:val="Compact"/>
      </w:pPr>
      <w:r>
        <w:t xml:space="preserve">Specify a static value for the</w:t>
      </w:r>
      <w:r>
        <w:t xml:space="preserve"> </w:t>
      </w:r>
      <w:r>
        <w:rPr>
          <w:rStyle w:val="VerbatimChar"/>
        </w:rPr>
        <w:t xml:space="preserve">signature</w:t>
      </w:r>
      <w:r>
        <w:t xml:space="preserve"> </w:t>
      </w:r>
      <w:r>
        <w:t xml:space="preserve">field of the Certificate ASN.1 SEQUENCE.</w:t>
      </w:r>
    </w:p>
    <w:p>
      <w:pPr>
        <w:pStyle w:val="FirstParagraph"/>
      </w:pPr>
      <w:r>
        <w:t xml:space="preserve">CAs MAY implement their own certificate Linting tools, but CAs SHOULD use the Linting tools that have been widely adopted by the industry (see https://cabforum.org/resources/tools/).</w:t>
      </w:r>
    </w:p>
    <w:p>
      <w:pPr>
        <w:pStyle w:val="BodyText"/>
      </w:pPr>
      <w:r>
        <w:t xml:space="preserve">CAs are encouraged to contribute to open-source Linting projects, such as by:</w:t>
      </w:r>
    </w:p>
    <w:p>
      <w:pPr>
        <w:numPr>
          <w:ilvl w:val="0"/>
          <w:numId w:val="1028"/>
        </w:numPr>
        <w:pStyle w:val="Compact"/>
      </w:pPr>
      <w:r>
        <w:t xml:space="preserve">creating new or improving existing lints,</w:t>
      </w:r>
    </w:p>
    <w:p>
      <w:pPr>
        <w:numPr>
          <w:ilvl w:val="0"/>
          <w:numId w:val="1028"/>
        </w:numPr>
        <w:pStyle w:val="Compact"/>
      </w:pPr>
      <w:r>
        <w:t xml:space="preserve">reporting potentially inaccurate linting results as bugs,</w:t>
      </w:r>
    </w:p>
    <w:p>
      <w:pPr>
        <w:numPr>
          <w:ilvl w:val="0"/>
          <w:numId w:val="1028"/>
        </w:numPr>
        <w:pStyle w:val="Compact"/>
      </w:pPr>
      <w:r>
        <w:t xml:space="preserve">notifying maintainers of Linting software of checks that are not covered by existing lints,</w:t>
      </w:r>
    </w:p>
    <w:p>
      <w:pPr>
        <w:numPr>
          <w:ilvl w:val="0"/>
          <w:numId w:val="1028"/>
        </w:numPr>
        <w:pStyle w:val="Compact"/>
      </w:pPr>
      <w:r>
        <w:t xml:space="preserve">updating documentation of existing lints, and</w:t>
      </w:r>
    </w:p>
    <w:p>
      <w:pPr>
        <w:numPr>
          <w:ilvl w:val="0"/>
          <w:numId w:val="1028"/>
        </w:numPr>
        <w:pStyle w:val="Compact"/>
      </w:pPr>
      <w:r>
        <w:t xml:space="preserve">generating test certificates for positive/negative tests of specific lints.</w:t>
      </w:r>
    </w:p>
    <w:bookmarkEnd w:id="130"/>
    <w:bookmarkStart w:id="131" w:name="X80842073d5d049a3548d3bab77d11b8dfeb9695"/>
    <w:p>
      <w:pPr>
        <w:pStyle w:val="Heading4"/>
      </w:pPr>
      <w:r>
        <w:t xml:space="preserve">4.3.1.3 Linting of issued Certificates</w:t>
      </w:r>
    </w:p>
    <w:p>
      <w:pPr>
        <w:pStyle w:val="FirstParagraph"/>
      </w:pPr>
      <w:r>
        <w:t xml:space="preserve">CAs MAY use a Linting process to test each issued Certificate.</w:t>
      </w:r>
    </w:p>
    <w:bookmarkEnd w:id="131"/>
    <w:bookmarkEnd w:id="132"/>
    <w:bookmarkStart w:id="133"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33"/>
    <w:bookmarkEnd w:id="134"/>
    <w:bookmarkStart w:id="138" w:name="Xb834c16d38c34ba02522a734ac23dd8e56be47c"/>
    <w:p>
      <w:pPr>
        <w:pStyle w:val="Heading2"/>
      </w:pPr>
      <w:r>
        <w:t xml:space="preserve">4.4 Certificate acceptance</w:t>
      </w:r>
    </w:p>
    <w:bookmarkStart w:id="135" w:name="X2a91c0d7c2b7610768e83ece8f33be9d3e479b1"/>
    <w:p>
      <w:pPr>
        <w:pStyle w:val="Heading3"/>
      </w:pPr>
      <w:r>
        <w:t xml:space="preserve">4.4.1 Conduct constituting certificate acceptance</w:t>
      </w:r>
    </w:p>
    <w:p>
      <w:pPr>
        <w:pStyle w:val="FirstParagraph"/>
      </w:pPr>
      <w:r>
        <w:t xml:space="preserve">No stipulation.</w:t>
      </w:r>
    </w:p>
    <w:bookmarkEnd w:id="135"/>
    <w:bookmarkStart w:id="136" w:name="Xab2e5d29cd3c5f1db6b0f21fd5f3b7f8e46d15c"/>
    <w:p>
      <w:pPr>
        <w:pStyle w:val="Heading3"/>
      </w:pPr>
      <w:r>
        <w:t xml:space="preserve">4.4.2 Publication of the certificate by the CA</w:t>
      </w:r>
    </w:p>
    <w:p>
      <w:pPr>
        <w:pStyle w:val="FirstParagraph"/>
      </w:pPr>
      <w:r>
        <w:t xml:space="preserve">No stipulation.</w:t>
      </w:r>
    </w:p>
    <w:bookmarkEnd w:id="136"/>
    <w:bookmarkStart w:id="137"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7"/>
    <w:bookmarkEnd w:id="138"/>
    <w:bookmarkStart w:id="141" w:name="X38e872b6fc8069e160c14bb81fce20f68efb8b1"/>
    <w:p>
      <w:pPr>
        <w:pStyle w:val="Heading2"/>
      </w:pPr>
      <w:r>
        <w:t xml:space="preserve">4.5 Key pair and certificate usage</w:t>
      </w:r>
    </w:p>
    <w:bookmarkStart w:id="139"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9"/>
    <w:bookmarkStart w:id="140" w:name="Xb1050d63992ad4a88c86320e50fa5163f43a897"/>
    <w:p>
      <w:pPr>
        <w:pStyle w:val="Heading3"/>
      </w:pPr>
      <w:r>
        <w:t xml:space="preserve">4.5.2 Relying party public key and certificate usage</w:t>
      </w:r>
    </w:p>
    <w:p>
      <w:pPr>
        <w:pStyle w:val="FirstParagraph"/>
      </w:pPr>
      <w:r>
        <w:t xml:space="preserve">No stipulation.</w:t>
      </w:r>
    </w:p>
    <w:bookmarkEnd w:id="140"/>
    <w:bookmarkEnd w:id="141"/>
    <w:bookmarkStart w:id="149" w:name="X01b54a9b939d191b3df3b2e092a2330e7dd49a9"/>
    <w:p>
      <w:pPr>
        <w:pStyle w:val="Heading2"/>
      </w:pPr>
      <w:r>
        <w:t xml:space="preserve">4.6 Certificate renewal</w:t>
      </w:r>
    </w:p>
    <w:bookmarkStart w:id="142" w:name="X7cebbb34753a4739bcaab732022df796f28e935"/>
    <w:p>
      <w:pPr>
        <w:pStyle w:val="Heading3"/>
      </w:pPr>
      <w:r>
        <w:t xml:space="preserve">4.6.1 Circumstance for certificate renewal</w:t>
      </w:r>
    </w:p>
    <w:p>
      <w:pPr>
        <w:pStyle w:val="FirstParagraph"/>
      </w:pPr>
      <w:r>
        <w:t xml:space="preserve">No stipulation.</w:t>
      </w:r>
    </w:p>
    <w:bookmarkEnd w:id="142"/>
    <w:bookmarkStart w:id="143" w:name="X61dbbff3245ba448b50e53882159a60e43e4a84"/>
    <w:p>
      <w:pPr>
        <w:pStyle w:val="Heading3"/>
      </w:pPr>
      <w:r>
        <w:t xml:space="preserve">4.6.2 Who may request renewal</w:t>
      </w:r>
    </w:p>
    <w:p>
      <w:pPr>
        <w:pStyle w:val="FirstParagraph"/>
      </w:pPr>
      <w:r>
        <w:t xml:space="preserve">No stipulation.</w:t>
      </w:r>
    </w:p>
    <w:bookmarkEnd w:id="143"/>
    <w:bookmarkStart w:id="144" w:name="Xa197ff0b71b68324850f0cde89b3340750119e7"/>
    <w:p>
      <w:pPr>
        <w:pStyle w:val="Heading3"/>
      </w:pPr>
      <w:r>
        <w:t xml:space="preserve">4.6.3 Processing certificate renewal requests</w:t>
      </w:r>
    </w:p>
    <w:p>
      <w:pPr>
        <w:pStyle w:val="FirstParagraph"/>
      </w:pPr>
      <w:r>
        <w:t xml:space="preserve">No stipulation.</w:t>
      </w:r>
    </w:p>
    <w:bookmarkEnd w:id="144"/>
    <w:bookmarkStart w:id="145" w:name="X732c512a8188e7b744d8a197bd3d4f105ca9730"/>
    <w:p>
      <w:pPr>
        <w:pStyle w:val="Heading3"/>
      </w:pPr>
      <w:r>
        <w:t xml:space="preserve">4.6.4 Notification of new certificate issuance to subscriber</w:t>
      </w:r>
    </w:p>
    <w:p>
      <w:pPr>
        <w:pStyle w:val="FirstParagraph"/>
      </w:pPr>
      <w:r>
        <w:t xml:space="preserve">No stipulation.</w:t>
      </w:r>
    </w:p>
    <w:bookmarkEnd w:id="145"/>
    <w:bookmarkStart w:id="146" w:name="Xbc860d6f34b11109f21da59928662408ff47743"/>
    <w:p>
      <w:pPr>
        <w:pStyle w:val="Heading3"/>
      </w:pPr>
      <w:r>
        <w:t xml:space="preserve">4.6.5 Conduct constituting acceptance of a renewal certificate</w:t>
      </w:r>
    </w:p>
    <w:p>
      <w:pPr>
        <w:pStyle w:val="FirstParagraph"/>
      </w:pPr>
      <w:r>
        <w:t xml:space="preserve">No stipulation.</w:t>
      </w:r>
    </w:p>
    <w:bookmarkEnd w:id="146"/>
    <w:bookmarkStart w:id="147" w:name="Xfc4772728cd99f0cc5e26668dfadb81bba90b63"/>
    <w:p>
      <w:pPr>
        <w:pStyle w:val="Heading3"/>
      </w:pPr>
      <w:r>
        <w:t xml:space="preserve">4.6.6 Publication of the renewal certificate by the CA</w:t>
      </w:r>
    </w:p>
    <w:p>
      <w:pPr>
        <w:pStyle w:val="FirstParagraph"/>
      </w:pPr>
      <w:r>
        <w:t xml:space="preserve">No stipulation.</w:t>
      </w:r>
    </w:p>
    <w:bookmarkEnd w:id="147"/>
    <w:bookmarkStart w:id="148"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8"/>
    <w:bookmarkEnd w:id="149"/>
    <w:bookmarkStart w:id="157" w:name="X9de994046b8e62c9854d65c41be231b6d1bb87c"/>
    <w:p>
      <w:pPr>
        <w:pStyle w:val="Heading2"/>
      </w:pPr>
      <w:r>
        <w:t xml:space="preserve">4.7 Certificate re-key</w:t>
      </w:r>
    </w:p>
    <w:bookmarkStart w:id="150" w:name="Xb7982f97f433a35e39e9e7cfb98c95e7e23568c"/>
    <w:p>
      <w:pPr>
        <w:pStyle w:val="Heading3"/>
      </w:pPr>
      <w:r>
        <w:t xml:space="preserve">4.7.1 Circumstance for certificate re-key</w:t>
      </w:r>
    </w:p>
    <w:p>
      <w:pPr>
        <w:pStyle w:val="FirstParagraph"/>
      </w:pPr>
      <w:r>
        <w:t xml:space="preserve">No stipulation.</w:t>
      </w:r>
    </w:p>
    <w:bookmarkEnd w:id="150"/>
    <w:bookmarkStart w:id="151" w:name="Xafd81245adde004535290eafc86ffae57448fa7"/>
    <w:p>
      <w:pPr>
        <w:pStyle w:val="Heading3"/>
      </w:pPr>
      <w:r>
        <w:t xml:space="preserve">4.7.2 Who may request certification of a new public key</w:t>
      </w:r>
    </w:p>
    <w:p>
      <w:pPr>
        <w:pStyle w:val="FirstParagraph"/>
      </w:pPr>
      <w:r>
        <w:t xml:space="preserve">No stipulation.</w:t>
      </w:r>
    </w:p>
    <w:bookmarkEnd w:id="151"/>
    <w:bookmarkStart w:id="152" w:name="X464e37e2d0ccf60ae691df8dfee8b9fa26a2c8a"/>
    <w:p>
      <w:pPr>
        <w:pStyle w:val="Heading3"/>
      </w:pPr>
      <w:r>
        <w:t xml:space="preserve">4.7.3 Processing certificate re-keying requests</w:t>
      </w:r>
    </w:p>
    <w:p>
      <w:pPr>
        <w:pStyle w:val="FirstParagraph"/>
      </w:pPr>
      <w:r>
        <w:t xml:space="preserve">No stipulation.</w:t>
      </w:r>
    </w:p>
    <w:bookmarkEnd w:id="152"/>
    <w:bookmarkStart w:id="153" w:name="Xfeca2c9c95ef2221b0462624c2f32b720be5157"/>
    <w:p>
      <w:pPr>
        <w:pStyle w:val="Heading3"/>
      </w:pPr>
      <w:r>
        <w:t xml:space="preserve">4.7.4 Notification of new certificate issuance to subscriber</w:t>
      </w:r>
    </w:p>
    <w:p>
      <w:pPr>
        <w:pStyle w:val="FirstParagraph"/>
      </w:pPr>
      <w:r>
        <w:t xml:space="preserve">No stipulation.</w:t>
      </w:r>
    </w:p>
    <w:bookmarkEnd w:id="153"/>
    <w:bookmarkStart w:id="154" w:name="X73f13e746763fe2cb7c553081382f3ee49ddfa8"/>
    <w:p>
      <w:pPr>
        <w:pStyle w:val="Heading3"/>
      </w:pPr>
      <w:r>
        <w:t xml:space="preserve">4.7.5 Conduct constituting acceptance of a re-keyed certificate</w:t>
      </w:r>
    </w:p>
    <w:p>
      <w:pPr>
        <w:pStyle w:val="FirstParagraph"/>
      </w:pPr>
      <w:r>
        <w:t xml:space="preserve">No stipulation.</w:t>
      </w:r>
    </w:p>
    <w:bookmarkEnd w:id="154"/>
    <w:bookmarkStart w:id="155" w:name="X1f85955659ee5ac02fea231b82a31fd7f13813a"/>
    <w:p>
      <w:pPr>
        <w:pStyle w:val="Heading3"/>
      </w:pPr>
      <w:r>
        <w:t xml:space="preserve">4.7.6 Publication of the re-keyed certificate by the CA</w:t>
      </w:r>
    </w:p>
    <w:p>
      <w:pPr>
        <w:pStyle w:val="FirstParagraph"/>
      </w:pPr>
      <w:r>
        <w:t xml:space="preserve">No stipulation.</w:t>
      </w:r>
    </w:p>
    <w:bookmarkEnd w:id="155"/>
    <w:bookmarkStart w:id="156"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6"/>
    <w:bookmarkEnd w:id="157"/>
    <w:bookmarkStart w:id="165" w:name="X5e7018f8ff5984cd65bf90a33afb6c43e9b9e29"/>
    <w:p>
      <w:pPr>
        <w:pStyle w:val="Heading2"/>
      </w:pPr>
      <w:r>
        <w:t xml:space="preserve">4.8 Certificate modification</w:t>
      </w:r>
    </w:p>
    <w:bookmarkStart w:id="158" w:name="X31732ff04074613abbdcce455235a504ff0cf96"/>
    <w:p>
      <w:pPr>
        <w:pStyle w:val="Heading3"/>
      </w:pPr>
      <w:r>
        <w:t xml:space="preserve">4.8.1 Circumstance for certificate modification</w:t>
      </w:r>
    </w:p>
    <w:p>
      <w:pPr>
        <w:pStyle w:val="FirstParagraph"/>
      </w:pPr>
      <w:r>
        <w:t xml:space="preserve">No stipulation.</w:t>
      </w:r>
    </w:p>
    <w:bookmarkEnd w:id="158"/>
    <w:bookmarkStart w:id="159" w:name="X0f17450c2c51d51a94d7c5a0fe9b13261d91513"/>
    <w:p>
      <w:pPr>
        <w:pStyle w:val="Heading3"/>
      </w:pPr>
      <w:r>
        <w:t xml:space="preserve">4.8.2 Who may request certificate modification</w:t>
      </w:r>
    </w:p>
    <w:p>
      <w:pPr>
        <w:pStyle w:val="FirstParagraph"/>
      </w:pPr>
      <w:r>
        <w:t xml:space="preserve">No stipulation.</w:t>
      </w:r>
    </w:p>
    <w:bookmarkEnd w:id="159"/>
    <w:bookmarkStart w:id="160" w:name="Xeb636af870360a6299a239bd8ec79796dbcd152"/>
    <w:p>
      <w:pPr>
        <w:pStyle w:val="Heading3"/>
      </w:pPr>
      <w:r>
        <w:t xml:space="preserve">4.8.3 Processing certificate modification requests</w:t>
      </w:r>
    </w:p>
    <w:p>
      <w:pPr>
        <w:pStyle w:val="FirstParagraph"/>
      </w:pPr>
      <w:r>
        <w:t xml:space="preserve">No stipulation.</w:t>
      </w:r>
    </w:p>
    <w:bookmarkEnd w:id="160"/>
    <w:bookmarkStart w:id="161" w:name="Xb0e8e003398f1eadc80fab4fcf4595e6f5990dc"/>
    <w:p>
      <w:pPr>
        <w:pStyle w:val="Heading3"/>
      </w:pPr>
      <w:r>
        <w:t xml:space="preserve">4.8.4 Notification of new certificate issuance to subscriber</w:t>
      </w:r>
    </w:p>
    <w:p>
      <w:pPr>
        <w:pStyle w:val="FirstParagraph"/>
      </w:pPr>
      <w:r>
        <w:t xml:space="preserve">No stipulation.</w:t>
      </w:r>
    </w:p>
    <w:bookmarkEnd w:id="161"/>
    <w:bookmarkStart w:id="162" w:name="X5263253b126a76665dc33103a00fc3ca656ab4c"/>
    <w:p>
      <w:pPr>
        <w:pStyle w:val="Heading3"/>
      </w:pPr>
      <w:r>
        <w:t xml:space="preserve">4.8.5 Conduct constituting acceptance of modified certificate</w:t>
      </w:r>
    </w:p>
    <w:p>
      <w:pPr>
        <w:pStyle w:val="FirstParagraph"/>
      </w:pPr>
      <w:r>
        <w:t xml:space="preserve">No stipulation.</w:t>
      </w:r>
    </w:p>
    <w:bookmarkEnd w:id="162"/>
    <w:bookmarkStart w:id="163" w:name="X6ace64e9f40da4e1936da93ff8d276d5a5ab6a0"/>
    <w:p>
      <w:pPr>
        <w:pStyle w:val="Heading3"/>
      </w:pPr>
      <w:r>
        <w:t xml:space="preserve">4.8.6 Publication of the modified certificate by the CA</w:t>
      </w:r>
    </w:p>
    <w:p>
      <w:pPr>
        <w:pStyle w:val="FirstParagraph"/>
      </w:pPr>
      <w:r>
        <w:t xml:space="preserve">No stipulation.</w:t>
      </w:r>
    </w:p>
    <w:bookmarkEnd w:id="163"/>
    <w:bookmarkStart w:id="164"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64"/>
    <w:bookmarkEnd w:id="165"/>
    <w:bookmarkStart w:id="184" w:name="Xf38be0bf7ac63401365906f843401c3792f8611"/>
    <w:p>
      <w:pPr>
        <w:pStyle w:val="Heading2"/>
      </w:pPr>
      <w:r>
        <w:t xml:space="preserve">4.9 Certificate revocation and suspension</w:t>
      </w:r>
    </w:p>
    <w:bookmarkStart w:id="168" w:name="X81033462fbdcc1627a8e1f3242051c861f1ade0"/>
    <w:p>
      <w:pPr>
        <w:pStyle w:val="Heading3"/>
      </w:pPr>
      <w:r>
        <w:t xml:space="preserve">4.9.1 Circumstances for revocation</w:t>
      </w:r>
    </w:p>
    <w:bookmarkStart w:id="166"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9"/>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9"/>
        </w:numPr>
        <w:pStyle w:val="Compact"/>
      </w:pPr>
      <w:r>
        <w:t xml:space="preserve">The Subscriber notifies the CA that the original certificate request was not authorized and does not retroactively grant authorization (CRLReason #9, privilegeWithdrawn);</w:t>
      </w:r>
    </w:p>
    <w:p>
      <w:pPr>
        <w:numPr>
          <w:ilvl w:val="0"/>
          <w:numId w:val="1029"/>
        </w:numPr>
        <w:pStyle w:val="Compact"/>
      </w:pPr>
      <w:r>
        <w:t xml:space="preserve">The CA obtains evidence that the Subscriber’s Private Key corresponding to the Public Key in the Certificate suffered a Key Compromise (CRLReason #1, keyCompromise);</w:t>
      </w:r>
    </w:p>
    <w:p>
      <w:pPr>
        <w:numPr>
          <w:ilvl w:val="0"/>
          <w:numId w:val="1029"/>
        </w:numPr>
        <w:pStyle w:val="Compact"/>
      </w:pPr>
      <w:r>
        <w:t xml:space="preserve">The CA is made aware of a demonstrated or proven method that can easily compute the Subscriber’s Private Key based on the Public Key in the Certificate, including but not limited to those identified in</w:t>
      </w:r>
      <w:r>
        <w:t xml:space="preserve"> </w:t>
      </w:r>
      <w:hyperlink w:anchor="X1f3e343c0ed534965e7af856fa25663848d6acb">
        <w:r>
          <w:rPr>
            <w:rStyle w:val="Hyperlink"/>
          </w:rPr>
          <w:t xml:space="preserve">Section 6.1.1.3(5)</w:t>
        </w:r>
      </w:hyperlink>
      <w:r>
        <w:t xml:space="preserve"> </w:t>
      </w:r>
      <w:r>
        <w:t xml:space="preserve">(CRLReason #1, keyCompromise);</w:t>
      </w:r>
    </w:p>
    <w:p>
      <w:pPr>
        <w:numPr>
          <w:ilvl w:val="0"/>
          <w:numId w:val="1029"/>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30"/>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30"/>
        </w:numPr>
        <w:pStyle w:val="Compact"/>
      </w:pPr>
      <w:r>
        <w:t xml:space="preserve">The CA obtains evidence that the Certificate was misused (CRLReason #9, privilegeWithdrawn);</w:t>
      </w:r>
    </w:p>
    <w:p>
      <w:pPr>
        <w:numPr>
          <w:ilvl w:val="0"/>
          <w:numId w:val="1030"/>
        </w:numPr>
        <w:pStyle w:val="Compact"/>
      </w:pPr>
      <w:r>
        <w:t xml:space="preserve">The CA is made aware that a Subscriber has violated one or more of its material obligations under the Subscriber Agreement or Terms of Use (CRLReason #9, privilegeWithdrawn);</w:t>
      </w:r>
    </w:p>
    <w:p>
      <w:pPr>
        <w:numPr>
          <w:ilvl w:val="0"/>
          <w:numId w:val="1030"/>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30"/>
        </w:numPr>
        <w:pStyle w:val="Compact"/>
      </w:pPr>
      <w:r>
        <w:t xml:space="preserve">The CA is made aware that a Wildcard Certificate has been used to authenticate a fraudulently misleading subordinate Fully-Qualified Domain Name (CRLReason #9, privilegeWithdrawn);</w:t>
      </w:r>
    </w:p>
    <w:p>
      <w:pPr>
        <w:numPr>
          <w:ilvl w:val="0"/>
          <w:numId w:val="1030"/>
        </w:numPr>
        <w:pStyle w:val="Compact"/>
      </w:pPr>
      <w:r>
        <w:t xml:space="preserve">The CA is made aware of a material change in the information contained in the Certificate (CRLReason #9, privilegeWithdrawn);</w:t>
      </w:r>
    </w:p>
    <w:p>
      <w:pPr>
        <w:numPr>
          <w:ilvl w:val="0"/>
          <w:numId w:val="1030"/>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30"/>
        </w:numPr>
        <w:pStyle w:val="Compact"/>
      </w:pPr>
      <w:r>
        <w:t xml:space="preserve">The CA determines or is made aware that any of the information appearing in the Certificate is inaccurate (CRLReason #9, privilegeWithdrawn);</w:t>
      </w:r>
    </w:p>
    <w:p>
      <w:pPr>
        <w:numPr>
          <w:ilvl w:val="0"/>
          <w:numId w:val="1030"/>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30"/>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30"/>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6"/>
    <w:bookmarkStart w:id="167"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31"/>
        </w:numPr>
        <w:pStyle w:val="Compact"/>
      </w:pPr>
      <w:r>
        <w:t xml:space="preserve">The Subordinate CA requests revocation in writing;</w:t>
      </w:r>
    </w:p>
    <w:p>
      <w:pPr>
        <w:numPr>
          <w:ilvl w:val="0"/>
          <w:numId w:val="1031"/>
        </w:numPr>
        <w:pStyle w:val="Compact"/>
      </w:pPr>
      <w:r>
        <w:t xml:space="preserve">The Subordinate CA notifies the Issuing CA that the original certificate request was not authorized and does not retroactively grant authorization;</w:t>
      </w:r>
    </w:p>
    <w:p>
      <w:pPr>
        <w:numPr>
          <w:ilvl w:val="0"/>
          <w:numId w:val="1031"/>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31"/>
        </w:numPr>
        <w:pStyle w:val="Compact"/>
      </w:pPr>
      <w:r>
        <w:t xml:space="preserve">The Issuing CA obtains evidence that the Certificate was misused;</w:t>
      </w:r>
    </w:p>
    <w:p>
      <w:pPr>
        <w:numPr>
          <w:ilvl w:val="0"/>
          <w:numId w:val="1031"/>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31"/>
        </w:numPr>
        <w:pStyle w:val="Compact"/>
      </w:pPr>
      <w:r>
        <w:t xml:space="preserve">The Issuing CA determines that any of the information appearing in the Certificate is inaccurate or misleading;</w:t>
      </w:r>
    </w:p>
    <w:p>
      <w:pPr>
        <w:numPr>
          <w:ilvl w:val="0"/>
          <w:numId w:val="1031"/>
        </w:numPr>
        <w:pStyle w:val="Compact"/>
      </w:pPr>
      <w:r>
        <w:t xml:space="preserve">The Issuing CA or Subordinate CA ceases operations for any reason and has not made arrangements for another CA to provide revocation support for the Certificate;</w:t>
      </w:r>
    </w:p>
    <w:p>
      <w:pPr>
        <w:numPr>
          <w:ilvl w:val="0"/>
          <w:numId w:val="1031"/>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31"/>
        </w:numPr>
        <w:pStyle w:val="Compact"/>
      </w:pPr>
      <w:r>
        <w:t xml:space="preserve">Revocation is required by the Issuing CA’s Certificate Policy and/or Certification Practice Statement.</w:t>
      </w:r>
    </w:p>
    <w:bookmarkEnd w:id="167"/>
    <w:bookmarkEnd w:id="168"/>
    <w:bookmarkStart w:id="169"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9"/>
    <w:bookmarkStart w:id="170"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70"/>
    <w:bookmarkStart w:id="171" w:name="Xa4b938435dd45f700c996f67e30961dba38e9c5"/>
    <w:p>
      <w:pPr>
        <w:pStyle w:val="Heading3"/>
      </w:pPr>
      <w:r>
        <w:t xml:space="preserve">4.9.4 Revocation request grace period</w:t>
      </w:r>
    </w:p>
    <w:p>
      <w:pPr>
        <w:pStyle w:val="FirstParagraph"/>
      </w:pPr>
      <w:r>
        <w:t xml:space="preserve">No stipulation.</w:t>
      </w:r>
    </w:p>
    <w:bookmarkEnd w:id="171"/>
    <w:bookmarkStart w:id="172"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2"/>
        </w:numPr>
        <w:pStyle w:val="Compact"/>
      </w:pPr>
      <w:r>
        <w:t xml:space="preserve">The nature of the alleged problem (scope, context, severity, magnitude, risk of harm);</w:t>
      </w:r>
    </w:p>
    <w:p>
      <w:pPr>
        <w:numPr>
          <w:ilvl w:val="0"/>
          <w:numId w:val="1032"/>
        </w:numPr>
        <w:pStyle w:val="Compact"/>
      </w:pPr>
      <w:r>
        <w:t xml:space="preserve">The consequences of revocation (direct and collateral impacts to Subscribers and Relying Parties);</w:t>
      </w:r>
    </w:p>
    <w:p>
      <w:pPr>
        <w:numPr>
          <w:ilvl w:val="0"/>
          <w:numId w:val="1032"/>
        </w:numPr>
        <w:pStyle w:val="Compact"/>
      </w:pPr>
      <w:r>
        <w:t xml:space="preserve">The number of Certificate Problem Reports received about a particular Certificate or Subscriber;</w:t>
      </w:r>
    </w:p>
    <w:p>
      <w:pPr>
        <w:numPr>
          <w:ilvl w:val="0"/>
          <w:numId w:val="1032"/>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2"/>
        </w:numPr>
        <w:pStyle w:val="Compact"/>
      </w:pPr>
      <w:r>
        <w:t xml:space="preserve">Relevant legislation.</w:t>
      </w:r>
    </w:p>
    <w:bookmarkEnd w:id="172"/>
    <w:bookmarkStart w:id="173"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73"/>
    <w:bookmarkStart w:id="174"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4"/>
    <w:bookmarkStart w:id="175" w:name="X1dd35edbfc7d82e993bd38bfdb706812e6975fb"/>
    <w:p>
      <w:pPr>
        <w:pStyle w:val="Heading3"/>
      </w:pPr>
      <w:r>
        <w:t xml:space="preserve">4.9.8 Maximum latency for CRLs (if applicable)</w:t>
      </w:r>
    </w:p>
    <w:p>
      <w:pPr>
        <w:pStyle w:val="FirstParagraph"/>
      </w:pPr>
      <w:r>
        <w:t xml:space="preserve">No stipulation.</w:t>
      </w:r>
    </w:p>
    <w:bookmarkEnd w:id="175"/>
    <w:bookmarkStart w:id="176"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3"/>
        </w:numPr>
        <w:pStyle w:val="Compact"/>
      </w:pPr>
      <w:r>
        <w:t xml:space="preserve">Be signed by the CA that issued the Certificates whose revocation status is being checked, or</w:t>
      </w:r>
    </w:p>
    <w:p>
      <w:pPr>
        <w:numPr>
          <w:ilvl w:val="0"/>
          <w:numId w:val="1033"/>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6"/>
    <w:bookmarkStart w:id="177"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4"/>
        </w:numPr>
        <w:pStyle w:val="Compact"/>
      </w:pPr>
      <w:r>
        <w:t xml:space="preserve">OCSP responses MUST have a validity interval greater than or equal to eight hours;</w:t>
      </w:r>
    </w:p>
    <w:p>
      <w:pPr>
        <w:numPr>
          <w:ilvl w:val="0"/>
          <w:numId w:val="1034"/>
        </w:numPr>
        <w:pStyle w:val="Compact"/>
      </w:pPr>
      <w:r>
        <w:t xml:space="preserve">OCSP responses MUST have a validity interval less than or equal to ten days;</w:t>
      </w:r>
    </w:p>
    <w:p>
      <w:pPr>
        <w:numPr>
          <w:ilvl w:val="0"/>
          <w:numId w:val="1034"/>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4"/>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5"/>
        </w:numPr>
      </w:pPr>
      <w:r>
        <w:t xml:space="preserve">The CA SHALL update information provided via an Online Certificate Status Protocol</w:t>
      </w:r>
    </w:p>
    <w:p>
      <w:pPr>
        <w:numPr>
          <w:ilvl w:val="1"/>
          <w:numId w:val="1036"/>
        </w:numPr>
        <w:pStyle w:val="Compact"/>
      </w:pPr>
      <w:r>
        <w:t xml:space="preserve">at least every twelve months; and</w:t>
      </w:r>
    </w:p>
    <w:p>
      <w:pPr>
        <w:numPr>
          <w:ilvl w:val="1"/>
          <w:numId w:val="1036"/>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7"/>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7"/>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8"/>
        </w:numPr>
        <w:pStyle w:val="Compact"/>
      </w:pPr>
      <w:r>
        <w:t xml:space="preserve">the Issuing CA; or</w:t>
      </w:r>
    </w:p>
    <w:p>
      <w:pPr>
        <w:numPr>
          <w:ilvl w:val="1"/>
          <w:numId w:val="1038"/>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7"/>
        </w:numPr>
        <w:pStyle w:val="Compact"/>
      </w:pPr>
      <w:r>
        <w:t xml:space="preserve">“</w:t>
      </w:r>
      <w:r>
        <w:t xml:space="preserve">unused</w:t>
      </w:r>
      <w:r>
        <w:t xml:space="preserve">”</w:t>
      </w:r>
      <w:r>
        <w:t xml:space="preserve"> </w:t>
      </w:r>
      <w:r>
        <w:t xml:space="preserve">if neither of the previous conditions are met.</w:t>
      </w:r>
    </w:p>
    <w:bookmarkEnd w:id="177"/>
    <w:bookmarkStart w:id="178" w:name="X159caba86c5e34ac5519db6dad1389a044aaf9c"/>
    <w:p>
      <w:pPr>
        <w:pStyle w:val="Heading3"/>
      </w:pPr>
      <w:r>
        <w:t xml:space="preserve">4.9.11 Other forms of revocation advertisements available</w:t>
      </w:r>
    </w:p>
    <w:p>
      <w:pPr>
        <w:pStyle w:val="FirstParagraph"/>
      </w:pPr>
      <w:r>
        <w:t xml:space="preserve">No Stipulation.</w:t>
      </w:r>
    </w:p>
    <w:bookmarkEnd w:id="178"/>
    <w:bookmarkStart w:id="179"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9"/>
    <w:bookmarkStart w:id="180"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80"/>
    <w:bookmarkStart w:id="181" w:name="X634640e74c796f108b9f7e257854987bfdbf52a"/>
    <w:p>
      <w:pPr>
        <w:pStyle w:val="Heading3"/>
      </w:pPr>
      <w:r>
        <w:t xml:space="preserve">4.9.14 Who can request suspension</w:t>
      </w:r>
    </w:p>
    <w:p>
      <w:pPr>
        <w:pStyle w:val="FirstParagraph"/>
      </w:pPr>
      <w:r>
        <w:t xml:space="preserve">Not applicable.</w:t>
      </w:r>
    </w:p>
    <w:bookmarkEnd w:id="181"/>
    <w:bookmarkStart w:id="182" w:name="X2ba4b94927e705ec587d2af5455862b45fd59cf"/>
    <w:p>
      <w:pPr>
        <w:pStyle w:val="Heading3"/>
      </w:pPr>
      <w:r>
        <w:t xml:space="preserve">4.9.15 Procedure for suspension request</w:t>
      </w:r>
    </w:p>
    <w:p>
      <w:pPr>
        <w:pStyle w:val="FirstParagraph"/>
      </w:pPr>
      <w:r>
        <w:t xml:space="preserve">Not applicable.</w:t>
      </w:r>
    </w:p>
    <w:bookmarkEnd w:id="182"/>
    <w:bookmarkStart w:id="183" w:name="X61202b656663ae17215b3d61e6ac92e146d9d4a"/>
    <w:p>
      <w:pPr>
        <w:pStyle w:val="Heading3"/>
      </w:pPr>
      <w:r>
        <w:t xml:space="preserve">4.9.16 Limits on suspension period</w:t>
      </w:r>
    </w:p>
    <w:p>
      <w:pPr>
        <w:pStyle w:val="FirstParagraph"/>
      </w:pPr>
      <w:r>
        <w:t xml:space="preserve">Not applicable.</w:t>
      </w:r>
    </w:p>
    <w:bookmarkEnd w:id="183"/>
    <w:bookmarkEnd w:id="184"/>
    <w:bookmarkStart w:id="188" w:name="Xa70078d8319b254d625988ebbdfb3bf82e575bc"/>
    <w:p>
      <w:pPr>
        <w:pStyle w:val="Heading2"/>
      </w:pPr>
      <w:r>
        <w:t xml:space="preserve">4.10 Certificate status services</w:t>
      </w:r>
    </w:p>
    <w:bookmarkStart w:id="185"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5"/>
    <w:bookmarkStart w:id="186"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6"/>
    <w:bookmarkStart w:id="187" w:name="X76ed370bafdde568e95cf29f52b1628a96bba75"/>
    <w:p>
      <w:pPr>
        <w:pStyle w:val="Heading3"/>
      </w:pPr>
      <w:r>
        <w:t xml:space="preserve">4.10.3 Optional features</w:t>
      </w:r>
    </w:p>
    <w:p>
      <w:pPr>
        <w:pStyle w:val="FirstParagraph"/>
      </w:pPr>
      <w:r>
        <w:t xml:space="preserve">No stipulation.</w:t>
      </w:r>
    </w:p>
    <w:bookmarkEnd w:id="187"/>
    <w:bookmarkEnd w:id="188"/>
    <w:bookmarkStart w:id="189" w:name="Xa144f0cfedfe6d44762be1d3e2156fdcff8b232"/>
    <w:p>
      <w:pPr>
        <w:pStyle w:val="Heading2"/>
      </w:pPr>
      <w:r>
        <w:t xml:space="preserve">4.11 End of subscription</w:t>
      </w:r>
    </w:p>
    <w:p>
      <w:pPr>
        <w:pStyle w:val="FirstParagraph"/>
      </w:pPr>
      <w:r>
        <w:t xml:space="preserve">No stipulation.</w:t>
      </w:r>
    </w:p>
    <w:bookmarkEnd w:id="189"/>
    <w:bookmarkStart w:id="192" w:name="Xbde68fc21e60c0076bdd42ac1c9f5ed935399a5"/>
    <w:p>
      <w:pPr>
        <w:pStyle w:val="Heading2"/>
      </w:pPr>
      <w:r>
        <w:t xml:space="preserve">4.12 Key escrow and recovery</w:t>
      </w:r>
    </w:p>
    <w:bookmarkStart w:id="190" w:name="Xa7e9a1cb3af88bb8e0c211393dcce7c3843a540"/>
    <w:p>
      <w:pPr>
        <w:pStyle w:val="Heading3"/>
      </w:pPr>
      <w:r>
        <w:t xml:space="preserve">4.12.1 Key escrow and recovery policy and practices</w:t>
      </w:r>
    </w:p>
    <w:p>
      <w:pPr>
        <w:pStyle w:val="FirstParagraph"/>
      </w:pPr>
      <w:r>
        <w:t xml:space="preserve">No stipulation.</w:t>
      </w:r>
    </w:p>
    <w:bookmarkEnd w:id="190"/>
    <w:bookmarkStart w:id="191" w:name="X82d14daacd432ce43607e6c91acd160881c08fe"/>
    <w:p>
      <w:pPr>
        <w:pStyle w:val="Heading3"/>
      </w:pPr>
      <w:r>
        <w:t xml:space="preserve">4.12.2 Session key encapsulation and recovery policy and practices</w:t>
      </w:r>
    </w:p>
    <w:p>
      <w:pPr>
        <w:pStyle w:val="FirstParagraph"/>
      </w:pPr>
      <w:r>
        <w:t xml:space="preserve">Not applicable.</w:t>
      </w:r>
    </w:p>
    <w:bookmarkEnd w:id="191"/>
    <w:bookmarkEnd w:id="192"/>
    <w:bookmarkEnd w:id="193"/>
    <w:bookmarkStart w:id="242"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9"/>
        </w:numPr>
        <w:pStyle w:val="Compact"/>
      </w:pPr>
      <w:r>
        <w:t xml:space="preserve">Protect the confidentiality, integrity, and availability of Certificate Data and Certificate Management Processes;</w:t>
      </w:r>
    </w:p>
    <w:p>
      <w:pPr>
        <w:numPr>
          <w:ilvl w:val="0"/>
          <w:numId w:val="1039"/>
        </w:numPr>
        <w:pStyle w:val="Compact"/>
      </w:pPr>
      <w:r>
        <w:t xml:space="preserve">Protect against anticipated threats or hazards to the confidentiality, integrity, and availability of the Certificate Data and Certificate Management Processes;</w:t>
      </w:r>
    </w:p>
    <w:p>
      <w:pPr>
        <w:numPr>
          <w:ilvl w:val="0"/>
          <w:numId w:val="1039"/>
        </w:numPr>
        <w:pStyle w:val="Compact"/>
      </w:pPr>
      <w:r>
        <w:t xml:space="preserve">Protect against unauthorized or unlawful access, use, disclosure, alteration, or destruction of any Certificate Data or Certificate Management Processes;</w:t>
      </w:r>
    </w:p>
    <w:p>
      <w:pPr>
        <w:numPr>
          <w:ilvl w:val="0"/>
          <w:numId w:val="1039"/>
        </w:numPr>
        <w:pStyle w:val="Compact"/>
      </w:pPr>
      <w:r>
        <w:t xml:space="preserve">Protect against accidental loss or destruction of, or damage to, any Certificate Data or Certificate Management Processes; and</w:t>
      </w:r>
    </w:p>
    <w:p>
      <w:pPr>
        <w:numPr>
          <w:ilvl w:val="0"/>
          <w:numId w:val="1039"/>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40"/>
        </w:numPr>
        <w:pStyle w:val="Compact"/>
      </w:pPr>
      <w:r>
        <w:t xml:space="preserve">physical security and environmental controls;</w:t>
      </w:r>
    </w:p>
    <w:p>
      <w:pPr>
        <w:numPr>
          <w:ilvl w:val="0"/>
          <w:numId w:val="1040"/>
        </w:numPr>
        <w:pStyle w:val="Compact"/>
      </w:pPr>
      <w:r>
        <w:t xml:space="preserve">system integrity controls, including configuration management, integrity maintenance of trusted code, and malware detection/prevention;</w:t>
      </w:r>
    </w:p>
    <w:p>
      <w:pPr>
        <w:numPr>
          <w:ilvl w:val="0"/>
          <w:numId w:val="1040"/>
        </w:numPr>
        <w:pStyle w:val="Compact"/>
      </w:pPr>
      <w:r>
        <w:t xml:space="preserve">network security and firewall management, including port restrictions and IP address filtering;</w:t>
      </w:r>
    </w:p>
    <w:p>
      <w:pPr>
        <w:numPr>
          <w:ilvl w:val="0"/>
          <w:numId w:val="1040"/>
        </w:numPr>
        <w:pStyle w:val="Compact"/>
      </w:pPr>
      <w:r>
        <w:t xml:space="preserve">user management, separate trusted-role assignments, education, awareness, and training; and</w:t>
      </w:r>
    </w:p>
    <w:p>
      <w:pPr>
        <w:numPr>
          <w:ilvl w:val="0"/>
          <w:numId w:val="1040"/>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41"/>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1"/>
        </w:numPr>
        <w:pStyle w:val="Compact"/>
      </w:pPr>
      <w:r>
        <w:t xml:space="preserve">Assesses the likelihood and potential damage of these threats, taking into consideration the sensitivity of the Certificate Data and Certificate Management Processes; and</w:t>
      </w:r>
    </w:p>
    <w:p>
      <w:pPr>
        <w:numPr>
          <w:ilvl w:val="0"/>
          <w:numId w:val="1041"/>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202" w:name="X98d68ee1c7716c1230ed615b6be3050094d2643"/>
    <w:p>
      <w:pPr>
        <w:pStyle w:val="Heading2"/>
      </w:pPr>
      <w:r>
        <w:t xml:space="preserve">5.1 Physical Security Controls</w:t>
      </w:r>
    </w:p>
    <w:bookmarkStart w:id="194" w:name="Xb6f1b5f393cd51c849eb9e2d68b45bf9c49ef23"/>
    <w:p>
      <w:pPr>
        <w:pStyle w:val="Heading3"/>
      </w:pPr>
      <w:r>
        <w:t xml:space="preserve">5.1.1 Site location and construction</w:t>
      </w:r>
    </w:p>
    <w:bookmarkEnd w:id="194"/>
    <w:bookmarkStart w:id="195" w:name="Xd2d5315ecb934ae4f124850c347848bce0c2c34"/>
    <w:p>
      <w:pPr>
        <w:pStyle w:val="Heading3"/>
      </w:pPr>
      <w:r>
        <w:t xml:space="preserve">5.1.2 Physical access</w:t>
      </w:r>
    </w:p>
    <w:bookmarkEnd w:id="195"/>
    <w:bookmarkStart w:id="196" w:name="Xfa25a439327a067d3a343253584ebc6c7253310"/>
    <w:p>
      <w:pPr>
        <w:pStyle w:val="Heading3"/>
      </w:pPr>
      <w:r>
        <w:t xml:space="preserve">5.1.3 Power and air conditioning</w:t>
      </w:r>
    </w:p>
    <w:bookmarkEnd w:id="196"/>
    <w:bookmarkStart w:id="197" w:name="Xc8ebee009600f2c707b9692216007eeb0eccf80"/>
    <w:p>
      <w:pPr>
        <w:pStyle w:val="Heading3"/>
      </w:pPr>
      <w:r>
        <w:t xml:space="preserve">5.1.4 Water exposures</w:t>
      </w:r>
    </w:p>
    <w:bookmarkEnd w:id="197"/>
    <w:bookmarkStart w:id="198" w:name="X754f96b1edfa8eb8313063a0caf050a20f1e80c"/>
    <w:p>
      <w:pPr>
        <w:pStyle w:val="Heading3"/>
      </w:pPr>
      <w:r>
        <w:t xml:space="preserve">5.1.5 Fire prevention and protection</w:t>
      </w:r>
    </w:p>
    <w:bookmarkEnd w:id="198"/>
    <w:bookmarkStart w:id="199" w:name="Xa1b60dba5083fc7b8e8d8c8c2008a8572497ec1"/>
    <w:p>
      <w:pPr>
        <w:pStyle w:val="Heading3"/>
      </w:pPr>
      <w:r>
        <w:t xml:space="preserve">5.1.6 Media storage</w:t>
      </w:r>
    </w:p>
    <w:bookmarkEnd w:id="199"/>
    <w:bookmarkStart w:id="200" w:name="Xe60ea3342689ce44e86d95685de458ba08ec841"/>
    <w:p>
      <w:pPr>
        <w:pStyle w:val="Heading3"/>
      </w:pPr>
      <w:r>
        <w:t xml:space="preserve">5.1.7 Waste disposal</w:t>
      </w:r>
    </w:p>
    <w:bookmarkEnd w:id="200"/>
    <w:bookmarkStart w:id="201" w:name="X73dffd16269dd51c9fb09971352c4c482866837"/>
    <w:p>
      <w:pPr>
        <w:pStyle w:val="Heading3"/>
      </w:pPr>
      <w:r>
        <w:t xml:space="preserve">5.1.8 Off-site backup</w:t>
      </w:r>
    </w:p>
    <w:bookmarkEnd w:id="201"/>
    <w:bookmarkEnd w:id="202"/>
    <w:bookmarkStart w:id="207" w:name="X4ee70fc9f8617992352a5bd4c46928f0d96bd32"/>
    <w:p>
      <w:pPr>
        <w:pStyle w:val="Heading2"/>
      </w:pPr>
      <w:r>
        <w:t xml:space="preserve">5.2 Procedural controls</w:t>
      </w:r>
    </w:p>
    <w:bookmarkStart w:id="203" w:name="Xac9b12537824616ad3034d69e1ef7bb2ac33fda"/>
    <w:p>
      <w:pPr>
        <w:pStyle w:val="Heading3"/>
      </w:pPr>
      <w:r>
        <w:t xml:space="preserve">5.2.1 Trusted roles</w:t>
      </w:r>
    </w:p>
    <w:bookmarkEnd w:id="203"/>
    <w:bookmarkStart w:id="204"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4"/>
    <w:bookmarkStart w:id="205" w:name="X3ce48db9a9d2c8ecad4cdf6a1d3f80cb194e831"/>
    <w:p>
      <w:pPr>
        <w:pStyle w:val="Heading3"/>
      </w:pPr>
      <w:r>
        <w:t xml:space="preserve">5.2.3 Identification and authentication for each role</w:t>
      </w:r>
    </w:p>
    <w:bookmarkEnd w:id="205"/>
    <w:bookmarkStart w:id="206" w:name="X642762ff06462346885bdb8e05a20b23bcbda1e"/>
    <w:p>
      <w:pPr>
        <w:pStyle w:val="Heading3"/>
      </w:pPr>
      <w:r>
        <w:t xml:space="preserve">5.2.4 Roles requiring separation of duties</w:t>
      </w:r>
    </w:p>
    <w:bookmarkEnd w:id="206"/>
    <w:bookmarkEnd w:id="207"/>
    <w:bookmarkStart w:id="216" w:name="X9e6b79f2a3cbdbc85dd8dbc56e6b968b46dcec5"/>
    <w:p>
      <w:pPr>
        <w:pStyle w:val="Heading2"/>
      </w:pPr>
      <w:r>
        <w:t xml:space="preserve">5.3 Personnel controls</w:t>
      </w:r>
    </w:p>
    <w:bookmarkStart w:id="208"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8"/>
    <w:bookmarkStart w:id="209" w:name="Xe7565d9efcd3ec62ca732d69081bf6f62e98d95"/>
    <w:p>
      <w:pPr>
        <w:pStyle w:val="Heading3"/>
      </w:pPr>
      <w:r>
        <w:t xml:space="preserve">5.3.2 Background check procedures</w:t>
      </w:r>
    </w:p>
    <w:bookmarkEnd w:id="209"/>
    <w:bookmarkStart w:id="210"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10"/>
    <w:bookmarkStart w:id="211"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11"/>
    <w:bookmarkStart w:id="212" w:name="Xde38cd455968566caa9184ef24acab8f0d68345"/>
    <w:p>
      <w:pPr>
        <w:pStyle w:val="Heading3"/>
      </w:pPr>
      <w:r>
        <w:t xml:space="preserve">5.3.5 Job rotation frequency and sequence</w:t>
      </w:r>
    </w:p>
    <w:bookmarkEnd w:id="212"/>
    <w:bookmarkStart w:id="213" w:name="Xf6c002936edcd23d608481e9e1dcaee0778724c"/>
    <w:p>
      <w:pPr>
        <w:pStyle w:val="Heading3"/>
      </w:pPr>
      <w:r>
        <w:t xml:space="preserve">5.3.6 Sanctions for unauthorized actions</w:t>
      </w:r>
    </w:p>
    <w:bookmarkEnd w:id="213"/>
    <w:bookmarkStart w:id="214"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4"/>
    <w:bookmarkStart w:id="215" w:name="X2d11dfa0fab276f2c277be99b661a49d44911c3"/>
    <w:p>
      <w:pPr>
        <w:pStyle w:val="Heading3"/>
      </w:pPr>
      <w:r>
        <w:t xml:space="preserve">5.3.8 Documentation supplied to personnel</w:t>
      </w:r>
    </w:p>
    <w:bookmarkEnd w:id="215"/>
    <w:bookmarkEnd w:id="216"/>
    <w:bookmarkStart w:id="226" w:name="X5572b34f1b9fe628192d5ae89bbfcdfea4bedeb"/>
    <w:p>
      <w:pPr>
        <w:pStyle w:val="Heading2"/>
      </w:pPr>
      <w:r>
        <w:t xml:space="preserve">5.4 Audit logging procedures</w:t>
      </w:r>
    </w:p>
    <w:bookmarkStart w:id="218"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2"/>
        </w:numPr>
        <w:pStyle w:val="Compact"/>
      </w:pPr>
      <w:r>
        <w:t xml:space="preserve">CA certificate and key lifecycle events, including:</w:t>
      </w:r>
    </w:p>
    <w:p>
      <w:pPr>
        <w:numPr>
          <w:ilvl w:val="1"/>
          <w:numId w:val="1043"/>
        </w:numPr>
        <w:pStyle w:val="Compact"/>
      </w:pPr>
      <w:r>
        <w:t xml:space="preserve">Key generation, backup, storage, recovery, archival, and destruction;</w:t>
      </w:r>
    </w:p>
    <w:p>
      <w:pPr>
        <w:numPr>
          <w:ilvl w:val="1"/>
          <w:numId w:val="1043"/>
        </w:numPr>
        <w:pStyle w:val="Compact"/>
      </w:pPr>
      <w:r>
        <w:t xml:space="preserve">Certificate requests, renewal, and re-key requests, and revocation;</w:t>
      </w:r>
    </w:p>
    <w:p>
      <w:pPr>
        <w:numPr>
          <w:ilvl w:val="1"/>
          <w:numId w:val="1043"/>
        </w:numPr>
        <w:pStyle w:val="Compact"/>
      </w:pPr>
      <w:r>
        <w:t xml:space="preserve">Approval and rejection of certificate requests;</w:t>
      </w:r>
    </w:p>
    <w:p>
      <w:pPr>
        <w:numPr>
          <w:ilvl w:val="1"/>
          <w:numId w:val="1043"/>
        </w:numPr>
        <w:pStyle w:val="Compact"/>
      </w:pPr>
      <w:r>
        <w:t xml:space="preserve">Cryptographic device lifecycle management events;</w:t>
      </w:r>
    </w:p>
    <w:p>
      <w:pPr>
        <w:numPr>
          <w:ilvl w:val="1"/>
          <w:numId w:val="1043"/>
        </w:numPr>
        <w:pStyle w:val="Compact"/>
      </w:pPr>
      <w:r>
        <w:t xml:space="preserve">Generation of Certificate Revocation Lists;</w:t>
      </w:r>
    </w:p>
    <w:p>
      <w:pPr>
        <w:numPr>
          <w:ilvl w:val="1"/>
          <w:numId w:val="1043"/>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3"/>
        </w:numPr>
        <w:pStyle w:val="Compact"/>
      </w:pPr>
      <w:r>
        <w:t xml:space="preserve">Introduction of new Certificate Profiles and retirement of existing Certificate Profiles.</w:t>
      </w:r>
    </w:p>
    <w:p>
      <w:pPr>
        <w:numPr>
          <w:ilvl w:val="0"/>
          <w:numId w:val="1042"/>
        </w:numPr>
        <w:pStyle w:val="Compact"/>
      </w:pPr>
      <w:r>
        <w:t xml:space="preserve">Subscriber Certificate lifecycle management events, including:</w:t>
      </w:r>
    </w:p>
    <w:p>
      <w:pPr>
        <w:numPr>
          <w:ilvl w:val="1"/>
          <w:numId w:val="1044"/>
        </w:numPr>
        <w:pStyle w:val="Compact"/>
      </w:pPr>
      <w:r>
        <w:t xml:space="preserve">Certificate requests, renewal, and re-key requests, and revocation;</w:t>
      </w:r>
    </w:p>
    <w:p>
      <w:pPr>
        <w:numPr>
          <w:ilvl w:val="1"/>
          <w:numId w:val="1044"/>
        </w:numPr>
        <w:pStyle w:val="Compact"/>
      </w:pPr>
      <w:r>
        <w:t xml:space="preserve">All verification activities stipulated in these Requirements and the CA’s Certification Practice Statement;</w:t>
      </w:r>
    </w:p>
    <w:p>
      <w:pPr>
        <w:numPr>
          <w:ilvl w:val="1"/>
          <w:numId w:val="1044"/>
        </w:numPr>
        <w:pStyle w:val="Compact"/>
      </w:pPr>
      <w:r>
        <w:t xml:space="preserve">Approval and rejection of certificate requests;</w:t>
      </w:r>
    </w:p>
    <w:p>
      <w:pPr>
        <w:numPr>
          <w:ilvl w:val="1"/>
          <w:numId w:val="1044"/>
        </w:numPr>
        <w:pStyle w:val="Compact"/>
      </w:pPr>
      <w:r>
        <w:t xml:space="preserve">Issuance of Certificates;</w:t>
      </w:r>
    </w:p>
    <w:p>
      <w:pPr>
        <w:numPr>
          <w:ilvl w:val="1"/>
          <w:numId w:val="1044"/>
        </w:numPr>
        <w:pStyle w:val="Compact"/>
      </w:pPr>
      <w:r>
        <w:t xml:space="preserve">Generation of Certificate Revocation Lists; and</w:t>
      </w:r>
    </w:p>
    <w:p>
      <w:pPr>
        <w:numPr>
          <w:ilvl w:val="1"/>
          <w:numId w:val="1044"/>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1"/>
          <w:numId w:val="1044"/>
        </w:numPr>
        <w:pStyle w:val="Compact"/>
      </w:pPr>
      <w:r>
        <w:t xml:space="preserve">Multi-Perspective Issuance Corroboration attempts from each Network Perspective, minimally recording the following information:</w:t>
      </w:r>
    </w:p>
    <w:p>
      <w:pPr>
        <w:numPr>
          <w:ilvl w:val="2"/>
          <w:numId w:val="1045"/>
        </w:numPr>
        <w:pStyle w:val="Compact"/>
      </w:pPr>
    </w:p>
    <w:p>
      <w:pPr>
        <w:numPr>
          <w:ilvl w:val="3"/>
          <w:numId w:val="1046"/>
        </w:numPr>
        <w:pStyle w:val="Compact"/>
      </w:pPr>
      <w:r>
        <w:t xml:space="preserve">an identifier that uniquely identifies the Network Perspective used;</w:t>
      </w:r>
    </w:p>
    <w:p>
      <w:pPr>
        <w:numPr>
          <w:ilvl w:val="2"/>
          <w:numId w:val="1045"/>
        </w:numPr>
        <w:pStyle w:val="Compact"/>
      </w:pPr>
    </w:p>
    <w:p>
      <w:pPr>
        <w:numPr>
          <w:ilvl w:val="3"/>
          <w:numId w:val="1047"/>
        </w:numPr>
        <w:pStyle w:val="Compact"/>
      </w:pPr>
      <w:r>
        <w:t xml:space="preserve">the attempted domain name and/or IP address; and</w:t>
      </w:r>
    </w:p>
    <w:p>
      <w:pPr>
        <w:numPr>
          <w:ilvl w:val="2"/>
          <w:numId w:val="1045"/>
        </w:numPr>
        <w:pStyle w:val="Compact"/>
      </w:pPr>
    </w:p>
    <w:p>
      <w:pPr>
        <w:numPr>
          <w:ilvl w:val="3"/>
          <w:numId w:val="1048"/>
        </w:numPr>
        <w:pStyle w:val="Compact"/>
      </w:pPr>
      <w:r>
        <w:t xml:space="preserve">the result of the attempt (e.g.,</w:t>
      </w:r>
      <w:r>
        <w:t xml:space="preserve"> </w:t>
      </w:r>
      <w:r>
        <w:t xml:space="preserve">“</w:t>
      </w:r>
      <w:r>
        <w:t xml:space="preserve">domain validation pass/fail</w:t>
      </w:r>
      <w:r>
        <w:t xml:space="preserve">”</w:t>
      </w:r>
      <w:r>
        <w:t xml:space="preserve">,</w:t>
      </w:r>
      <w:r>
        <w:t xml:space="preserve"> </w:t>
      </w:r>
      <w:r>
        <w:t xml:space="preserve">“</w:t>
      </w:r>
      <w:r>
        <w:t xml:space="preserve">CAA permission/prohibition</w:t>
      </w:r>
      <w:r>
        <w:t xml:space="preserve">”</w:t>
      </w:r>
      <w:r>
        <w:t xml:space="preserve">).</w:t>
      </w:r>
    </w:p>
    <w:p>
      <w:pPr>
        <w:numPr>
          <w:ilvl w:val="1"/>
          <w:numId w:val="1044"/>
        </w:numPr>
        <w:pStyle w:val="Compact"/>
      </w:pPr>
      <w:r>
        <w:t xml:space="preserve">Multi-Perspective Issuance Corroboration quorum results for each attempted domain name or IP address represented in a Certificate request (i.e.,</w:t>
      </w:r>
      <w:r>
        <w:t xml:space="preserve"> </w:t>
      </w:r>
      <w:r>
        <w:t xml:space="preserve">“</w:t>
      </w:r>
      <w:r>
        <w:t xml:space="preserve">3/4</w:t>
      </w:r>
      <w:r>
        <w:t xml:space="preserve">”</w:t>
      </w:r>
      <w:r>
        <w:t xml:space="preserve"> </w:t>
      </w:r>
      <w:r>
        <w:t xml:space="preserve">which should be interpreted as "Three (3) out of four (4) attempted Network Perspectives corroborated the determinations made by the Primary Network Perspective).</w:t>
      </w:r>
    </w:p>
    <w:p>
      <w:pPr>
        <w:numPr>
          <w:ilvl w:val="0"/>
          <w:numId w:val="1042"/>
        </w:numPr>
        <w:pStyle w:val="Compact"/>
      </w:pPr>
      <w:r>
        <w:t xml:space="preserve">Security events, including:</w:t>
      </w:r>
    </w:p>
    <w:p>
      <w:pPr>
        <w:numPr>
          <w:ilvl w:val="1"/>
          <w:numId w:val="1049"/>
        </w:numPr>
        <w:pStyle w:val="Compact"/>
      </w:pPr>
      <w:r>
        <w:t xml:space="preserve">Successful and unsuccessful PKI system access attempts;</w:t>
      </w:r>
    </w:p>
    <w:p>
      <w:pPr>
        <w:numPr>
          <w:ilvl w:val="1"/>
          <w:numId w:val="1049"/>
        </w:numPr>
        <w:pStyle w:val="Compact"/>
      </w:pPr>
      <w:r>
        <w:t xml:space="preserve">PKI and security system actions performed;</w:t>
      </w:r>
    </w:p>
    <w:p>
      <w:pPr>
        <w:numPr>
          <w:ilvl w:val="1"/>
          <w:numId w:val="1049"/>
        </w:numPr>
        <w:pStyle w:val="Compact"/>
      </w:pPr>
      <w:r>
        <w:t xml:space="preserve">Security profile changes;</w:t>
      </w:r>
    </w:p>
    <w:p>
      <w:pPr>
        <w:numPr>
          <w:ilvl w:val="1"/>
          <w:numId w:val="1049"/>
        </w:numPr>
        <w:pStyle w:val="Compact"/>
      </w:pPr>
      <w:r>
        <w:t xml:space="preserve">Installation, update and removal of software on a Certificate System;</w:t>
      </w:r>
    </w:p>
    <w:p>
      <w:pPr>
        <w:numPr>
          <w:ilvl w:val="1"/>
          <w:numId w:val="1049"/>
        </w:numPr>
        <w:pStyle w:val="Compact"/>
      </w:pPr>
      <w:r>
        <w:t xml:space="preserve">System crashes, hardware failures, and other anomalies;</w:t>
      </w:r>
    </w:p>
    <w:p>
      <w:pPr>
        <w:numPr>
          <w:ilvl w:val="1"/>
          <w:numId w:val="1049"/>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9"/>
        </w:numPr>
        <w:pStyle w:val="Compact"/>
      </w:pPr>
      <w:r>
        <w:t xml:space="preserve">Entries to and exits from the CA facility.</w:t>
      </w:r>
    </w:p>
    <w:p>
      <w:pPr>
        <w:pStyle w:val="FirstParagraph"/>
      </w:pPr>
      <w:r>
        <w:t xml:space="preserve">Log records MUST include at least the following elements:</w:t>
      </w:r>
    </w:p>
    <w:p>
      <w:pPr>
        <w:numPr>
          <w:ilvl w:val="0"/>
          <w:numId w:val="1050"/>
        </w:numPr>
        <w:pStyle w:val="Compact"/>
      </w:pPr>
      <w:r>
        <w:t xml:space="preserve">Date and time of event;</w:t>
      </w:r>
    </w:p>
    <w:p>
      <w:pPr>
        <w:numPr>
          <w:ilvl w:val="0"/>
          <w:numId w:val="1050"/>
        </w:numPr>
        <w:pStyle w:val="Compact"/>
      </w:pPr>
      <w:r>
        <w:t xml:space="preserve">Identity of the person making the journal record (when applicable); and</w:t>
      </w:r>
    </w:p>
    <w:p>
      <w:pPr>
        <w:numPr>
          <w:ilvl w:val="0"/>
          <w:numId w:val="1050"/>
        </w:numPr>
        <w:pStyle w:val="Compact"/>
      </w:pPr>
      <w:r>
        <w:t xml:space="preserve">Description of the event.</w:t>
      </w:r>
    </w:p>
    <w:bookmarkStart w:id="217"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51"/>
        </w:numPr>
        <w:pStyle w:val="Compact"/>
      </w:pPr>
      <w:r>
        <w:t xml:space="preserve">Successful and unsuccessful login attempts to routers and firewalls; and</w:t>
      </w:r>
    </w:p>
    <w:p>
      <w:pPr>
        <w:numPr>
          <w:ilvl w:val="0"/>
          <w:numId w:val="1051"/>
        </w:numPr>
        <w:pStyle w:val="Compact"/>
      </w:pPr>
      <w:r>
        <w:t xml:space="preserve">Logging of all administrative actions performed on routers and firewalls, including configuration changes, firmware updates, and access control modifications; and</w:t>
      </w:r>
    </w:p>
    <w:p>
      <w:pPr>
        <w:numPr>
          <w:ilvl w:val="0"/>
          <w:numId w:val="1051"/>
        </w:numPr>
        <w:pStyle w:val="Compact"/>
      </w:pPr>
      <w:r>
        <w:t xml:space="preserve">Logging of all changes made to firewall rules, including additions, modifications, and deletions; and</w:t>
      </w:r>
    </w:p>
    <w:p>
      <w:pPr>
        <w:numPr>
          <w:ilvl w:val="0"/>
          <w:numId w:val="1051"/>
        </w:numPr>
        <w:pStyle w:val="Compact"/>
      </w:pPr>
      <w:r>
        <w:t xml:space="preserve">Logging of all system events and errors, including hardware failures, software crashes, and system restarts.</w:t>
      </w:r>
    </w:p>
    <w:bookmarkEnd w:id="217"/>
    <w:bookmarkEnd w:id="218"/>
    <w:bookmarkStart w:id="219" w:name="Xddf03fb0dd0c300b619c3a9029553c55d1c04e8"/>
    <w:p>
      <w:pPr>
        <w:pStyle w:val="Heading3"/>
      </w:pPr>
      <w:r>
        <w:t xml:space="preserve">5.4.2 Frequency of processing audit log</w:t>
      </w:r>
    </w:p>
    <w:bookmarkEnd w:id="219"/>
    <w:bookmarkStart w:id="220"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52"/>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53"/>
        </w:numPr>
        <w:pStyle w:val="Compact"/>
      </w:pPr>
      <w:r>
        <w:t xml:space="preserve">the destruction of the CA Private Key; or</w:t>
      </w:r>
    </w:p>
    <w:p>
      <w:pPr>
        <w:numPr>
          <w:ilvl w:val="1"/>
          <w:numId w:val="1053"/>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52"/>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52"/>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20"/>
    <w:bookmarkStart w:id="221" w:name="X94f212ddc14a93fce9ddbde1c947ee98642cfd6"/>
    <w:p>
      <w:pPr>
        <w:pStyle w:val="Heading3"/>
      </w:pPr>
      <w:r>
        <w:t xml:space="preserve">5.4.4 Protection of audit log</w:t>
      </w:r>
    </w:p>
    <w:bookmarkEnd w:id="221"/>
    <w:bookmarkStart w:id="222" w:name="X84869d9a8072630992dceb41fdfa01401ee4bdc"/>
    <w:p>
      <w:pPr>
        <w:pStyle w:val="Heading3"/>
      </w:pPr>
      <w:r>
        <w:t xml:space="preserve">5.4.5 Audit log backup procedures</w:t>
      </w:r>
    </w:p>
    <w:bookmarkEnd w:id="222"/>
    <w:bookmarkStart w:id="223" w:name="X2ac9315baee4b8d3b2363c8d3b44d7be8853655"/>
    <w:p>
      <w:pPr>
        <w:pStyle w:val="Heading3"/>
      </w:pPr>
      <w:r>
        <w:t xml:space="preserve">5.4.6 Audit collection System (internal vs. external)</w:t>
      </w:r>
    </w:p>
    <w:bookmarkEnd w:id="223"/>
    <w:bookmarkStart w:id="224" w:name="Xf80e13390e35a279fdc01795219604decfe6bf0"/>
    <w:p>
      <w:pPr>
        <w:pStyle w:val="Heading3"/>
      </w:pPr>
      <w:r>
        <w:t xml:space="preserve">5.4.7 Notification to event-causing subject</w:t>
      </w:r>
    </w:p>
    <w:bookmarkEnd w:id="224"/>
    <w:bookmarkStart w:id="225"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54"/>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54"/>
        </w:numPr>
        <w:pStyle w:val="Compact"/>
      </w:pPr>
      <w:r>
        <w:t xml:space="preserve">Assesses the likelihood and potential damage of these threats, taking into consideration the sensitivity of the Certificate Data and Certificate Management Processes; and</w:t>
      </w:r>
    </w:p>
    <w:p>
      <w:pPr>
        <w:numPr>
          <w:ilvl w:val="0"/>
          <w:numId w:val="1054"/>
        </w:numPr>
        <w:pStyle w:val="Compact"/>
      </w:pPr>
      <w:r>
        <w:t xml:space="preserve">Assesses the sufficiency of the policies, procedures, information systems, technology, and other arrangements that the CA has in place to counter such threats.</w:t>
      </w:r>
    </w:p>
    <w:bookmarkEnd w:id="225"/>
    <w:bookmarkEnd w:id="226"/>
    <w:bookmarkStart w:id="234" w:name="Xff6085ba3c36ae2d4809cc2d69c1c0eccaa7945"/>
    <w:p>
      <w:pPr>
        <w:pStyle w:val="Heading2"/>
      </w:pPr>
      <w:r>
        <w:t xml:space="preserve">5.5 Records archival</w:t>
      </w:r>
    </w:p>
    <w:bookmarkStart w:id="227"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7"/>
    <w:bookmarkStart w:id="228"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8"/>
    <w:bookmarkStart w:id="229" w:name="Xa78e96d5834aec9a40b5d7a8284d1222673b7ed"/>
    <w:p>
      <w:pPr>
        <w:pStyle w:val="Heading3"/>
      </w:pPr>
      <w:r>
        <w:t xml:space="preserve">5.5.3 Protection of archive</w:t>
      </w:r>
    </w:p>
    <w:bookmarkEnd w:id="229"/>
    <w:bookmarkStart w:id="230" w:name="X329c5c23c2c5fe8622e62edba3aa48e5da4ebfd"/>
    <w:p>
      <w:pPr>
        <w:pStyle w:val="Heading3"/>
      </w:pPr>
      <w:r>
        <w:t xml:space="preserve">5.5.4 Archive backup procedures</w:t>
      </w:r>
    </w:p>
    <w:bookmarkEnd w:id="230"/>
    <w:bookmarkStart w:id="231" w:name="X78dd9fc21b38310f8673ff7f760b079fb09e07c"/>
    <w:p>
      <w:pPr>
        <w:pStyle w:val="Heading3"/>
      </w:pPr>
      <w:r>
        <w:t xml:space="preserve">5.5.5 Requirements for time-stamping of records</w:t>
      </w:r>
    </w:p>
    <w:bookmarkEnd w:id="231"/>
    <w:bookmarkStart w:id="232" w:name="X9a4b53079fec27f0b2ebff4325ec8ef9743f7a1"/>
    <w:p>
      <w:pPr>
        <w:pStyle w:val="Heading3"/>
      </w:pPr>
      <w:r>
        <w:t xml:space="preserve">5.5.6 Archive collection system (internal or external)</w:t>
      </w:r>
    </w:p>
    <w:bookmarkEnd w:id="232"/>
    <w:bookmarkStart w:id="233" w:name="X7b3e42592a883de73ff2e6afe51eef6f6bad1a1"/>
    <w:p>
      <w:pPr>
        <w:pStyle w:val="Heading3"/>
      </w:pPr>
      <w:r>
        <w:t xml:space="preserve">5.5.7 Procedures to obtain and verify archive information</w:t>
      </w:r>
    </w:p>
    <w:bookmarkEnd w:id="233"/>
    <w:bookmarkEnd w:id="234"/>
    <w:bookmarkStart w:id="235" w:name="Xf5c0c65dec9be3a31cf6df678ff441281445d45"/>
    <w:p>
      <w:pPr>
        <w:pStyle w:val="Heading2"/>
      </w:pPr>
      <w:r>
        <w:t xml:space="preserve">5.6 Key changeover</w:t>
      </w:r>
    </w:p>
    <w:bookmarkEnd w:id="235"/>
    <w:bookmarkStart w:id="240" w:name="X1b38fe0728f1fdaa67d821099eee1943286367d"/>
    <w:p>
      <w:pPr>
        <w:pStyle w:val="Heading2"/>
      </w:pPr>
      <w:r>
        <w:t xml:space="preserve">5.7 Compromise and disaster recovery</w:t>
      </w:r>
    </w:p>
    <w:bookmarkStart w:id="236"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55"/>
        </w:numPr>
        <w:pStyle w:val="Compact"/>
      </w:pPr>
      <w:r>
        <w:t xml:space="preserve">The conditions for activating the plan,</w:t>
      </w:r>
    </w:p>
    <w:p>
      <w:pPr>
        <w:numPr>
          <w:ilvl w:val="0"/>
          <w:numId w:val="1055"/>
        </w:numPr>
        <w:pStyle w:val="Compact"/>
      </w:pPr>
      <w:r>
        <w:t xml:space="preserve">Emergency procedures,</w:t>
      </w:r>
    </w:p>
    <w:p>
      <w:pPr>
        <w:numPr>
          <w:ilvl w:val="0"/>
          <w:numId w:val="1055"/>
        </w:numPr>
        <w:pStyle w:val="Compact"/>
      </w:pPr>
      <w:r>
        <w:t xml:space="preserve">Fallback procedures,</w:t>
      </w:r>
    </w:p>
    <w:p>
      <w:pPr>
        <w:numPr>
          <w:ilvl w:val="0"/>
          <w:numId w:val="1055"/>
        </w:numPr>
        <w:pStyle w:val="Compact"/>
      </w:pPr>
      <w:r>
        <w:t xml:space="preserve">Resumption procedures,</w:t>
      </w:r>
    </w:p>
    <w:p>
      <w:pPr>
        <w:numPr>
          <w:ilvl w:val="0"/>
          <w:numId w:val="1055"/>
        </w:numPr>
        <w:pStyle w:val="Compact"/>
      </w:pPr>
      <w:r>
        <w:t xml:space="preserve">A maintenance schedule for the plan;</w:t>
      </w:r>
    </w:p>
    <w:p>
      <w:pPr>
        <w:numPr>
          <w:ilvl w:val="0"/>
          <w:numId w:val="1055"/>
        </w:numPr>
        <w:pStyle w:val="Compact"/>
      </w:pPr>
      <w:r>
        <w:t xml:space="preserve">Awareness and education requirements;</w:t>
      </w:r>
    </w:p>
    <w:p>
      <w:pPr>
        <w:numPr>
          <w:ilvl w:val="0"/>
          <w:numId w:val="1055"/>
        </w:numPr>
        <w:pStyle w:val="Compact"/>
      </w:pPr>
      <w:r>
        <w:t xml:space="preserve">The responsibilities of the individuals;</w:t>
      </w:r>
    </w:p>
    <w:p>
      <w:pPr>
        <w:numPr>
          <w:ilvl w:val="0"/>
          <w:numId w:val="1055"/>
        </w:numPr>
        <w:pStyle w:val="Compact"/>
      </w:pPr>
      <w:r>
        <w:t xml:space="preserve">Recovery time objective (RTO);</w:t>
      </w:r>
    </w:p>
    <w:p>
      <w:pPr>
        <w:numPr>
          <w:ilvl w:val="0"/>
          <w:numId w:val="1055"/>
        </w:numPr>
        <w:pStyle w:val="Compact"/>
      </w:pPr>
      <w:r>
        <w:t xml:space="preserve">Regular testing of contingency plans.</w:t>
      </w:r>
    </w:p>
    <w:p>
      <w:pPr>
        <w:numPr>
          <w:ilvl w:val="0"/>
          <w:numId w:val="1055"/>
        </w:numPr>
        <w:pStyle w:val="Compact"/>
      </w:pPr>
      <w:r>
        <w:t xml:space="preserve">The CA’s plan to maintain or restore the CA’s business operations in a timely manner following interruption to or failure of critical business processes</w:t>
      </w:r>
    </w:p>
    <w:p>
      <w:pPr>
        <w:numPr>
          <w:ilvl w:val="0"/>
          <w:numId w:val="1055"/>
        </w:numPr>
        <w:pStyle w:val="Compact"/>
      </w:pPr>
      <w:r>
        <w:t xml:space="preserve">A requirement to store critical cryptographic materials (i.e., secure cryptographic device and activation materials) at an alternate location;</w:t>
      </w:r>
    </w:p>
    <w:p>
      <w:pPr>
        <w:numPr>
          <w:ilvl w:val="0"/>
          <w:numId w:val="1055"/>
        </w:numPr>
        <w:pStyle w:val="Compact"/>
      </w:pPr>
      <w:r>
        <w:t xml:space="preserve">What constitutes an acceptable system outage and recovery time</w:t>
      </w:r>
    </w:p>
    <w:p>
      <w:pPr>
        <w:numPr>
          <w:ilvl w:val="0"/>
          <w:numId w:val="1055"/>
        </w:numPr>
        <w:pStyle w:val="Compact"/>
      </w:pPr>
      <w:r>
        <w:t xml:space="preserve">How frequently backup copies of essential business information and software are taken;</w:t>
      </w:r>
    </w:p>
    <w:p>
      <w:pPr>
        <w:numPr>
          <w:ilvl w:val="0"/>
          <w:numId w:val="1055"/>
        </w:numPr>
        <w:pStyle w:val="Compact"/>
      </w:pPr>
      <w:r>
        <w:t xml:space="preserve">The distance of recovery facilities to the CA’s main site; and</w:t>
      </w:r>
    </w:p>
    <w:p>
      <w:pPr>
        <w:numPr>
          <w:ilvl w:val="0"/>
          <w:numId w:val="1055"/>
        </w:numPr>
        <w:pStyle w:val="Compact"/>
      </w:pPr>
      <w:r>
        <w:t xml:space="preserve">Procedures for securing its facility to the extent possible during the period of time following a disaster and prior to restoring a secure environment either at the original or a remote site.</w:t>
      </w:r>
    </w:p>
    <w:bookmarkEnd w:id="236"/>
    <w:bookmarkStart w:id="237" w:name="X5fb307205af3758c8d5ee1ba1f8f30c9831ffb8"/>
    <w:p>
      <w:pPr>
        <w:pStyle w:val="Heading3"/>
      </w:pPr>
      <w:r>
        <w:t xml:space="preserve">5.7.2 Recovery Procedures if Computing resources, software, and/or data are corrupted</w:t>
      </w:r>
    </w:p>
    <w:bookmarkEnd w:id="237"/>
    <w:bookmarkStart w:id="238" w:name="X0bde16ef449c4493f99c274e5cd3208e412ffee"/>
    <w:p>
      <w:pPr>
        <w:pStyle w:val="Heading3"/>
      </w:pPr>
      <w:r>
        <w:t xml:space="preserve">5.7.3 Recovery Procedures after Key Compromise</w:t>
      </w:r>
    </w:p>
    <w:bookmarkEnd w:id="238"/>
    <w:bookmarkStart w:id="239" w:name="X8fcc89b3c07a6ada7111bbb4b39ac17dacc9ffb"/>
    <w:p>
      <w:pPr>
        <w:pStyle w:val="Heading3"/>
      </w:pPr>
      <w:r>
        <w:t xml:space="preserve">5.7.4 Business continuity capabilities after a disaster</w:t>
      </w:r>
    </w:p>
    <w:bookmarkEnd w:id="239"/>
    <w:bookmarkEnd w:id="240"/>
    <w:bookmarkStart w:id="241" w:name="X5426df09f772338eb6fa8dbe321896ec93cde3b"/>
    <w:p>
      <w:pPr>
        <w:pStyle w:val="Heading2"/>
      </w:pPr>
      <w:r>
        <w:t xml:space="preserve">5.8 CA or RA termination</w:t>
      </w:r>
    </w:p>
    <w:bookmarkEnd w:id="241"/>
    <w:bookmarkEnd w:id="242"/>
    <w:bookmarkStart w:id="282" w:name="X0f4a312b6ea95623dbd1449e5842e1ce2dfb0c3"/>
    <w:p>
      <w:pPr>
        <w:pStyle w:val="Heading1"/>
      </w:pPr>
      <w:r>
        <w:t xml:space="preserve">6. TECHNICAL SECURITY CONTROLS</w:t>
      </w:r>
    </w:p>
    <w:bookmarkStart w:id="253" w:name="Xd8a643226c33dc90cd48b3203e3aadd8ac36c37"/>
    <w:p>
      <w:pPr>
        <w:pStyle w:val="Heading2"/>
      </w:pPr>
      <w:r>
        <w:t xml:space="preserve">6.1 Key pair generation and installation</w:t>
      </w:r>
    </w:p>
    <w:bookmarkStart w:id="246" w:name="X12f3290cdba20f36347c5329805670700a16637"/>
    <w:p>
      <w:pPr>
        <w:pStyle w:val="Heading3"/>
      </w:pPr>
      <w:r>
        <w:t xml:space="preserve">6.1.1 Key pair generation</w:t>
      </w:r>
    </w:p>
    <w:bookmarkStart w:id="243"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56"/>
        </w:numPr>
        <w:pStyle w:val="Compact"/>
      </w:pPr>
      <w:r>
        <w:t xml:space="preserve">used as a CA Key Pair for a Root Certificate or</w:t>
      </w:r>
    </w:p>
    <w:p>
      <w:pPr>
        <w:numPr>
          <w:ilvl w:val="0"/>
          <w:numId w:val="1056"/>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7"/>
        </w:numPr>
        <w:pStyle w:val="Compact"/>
      </w:pPr>
      <w:r>
        <w:t xml:space="preserve">prepare and follow a Key Generation Script,</w:t>
      </w:r>
    </w:p>
    <w:p>
      <w:pPr>
        <w:numPr>
          <w:ilvl w:val="0"/>
          <w:numId w:val="1057"/>
        </w:numPr>
        <w:pStyle w:val="Compact"/>
      </w:pPr>
      <w:r>
        <w:t xml:space="preserve">have a Qualified Auditor witness the CA Key Pair generation process or record a video of the entire CA Key Pair generation process, and</w:t>
      </w:r>
    </w:p>
    <w:p>
      <w:pPr>
        <w:numPr>
          <w:ilvl w:val="0"/>
          <w:numId w:val="1057"/>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8"/>
        </w:numPr>
        <w:pStyle w:val="Compact"/>
      </w:pPr>
      <w:r>
        <w:t xml:space="preserve">prepare and follow a Key Generation Script and</w:t>
      </w:r>
    </w:p>
    <w:p>
      <w:pPr>
        <w:numPr>
          <w:ilvl w:val="0"/>
          <w:numId w:val="1058"/>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9"/>
        </w:numPr>
        <w:pStyle w:val="Compact"/>
      </w:pPr>
      <w:r>
        <w:t xml:space="preserve">generate the CA Key Pair in a physically secured environment as described in the CA’s Certificate Policy and/or Certification Practice Statement;</w:t>
      </w:r>
    </w:p>
    <w:p>
      <w:pPr>
        <w:numPr>
          <w:ilvl w:val="0"/>
          <w:numId w:val="1059"/>
        </w:numPr>
        <w:pStyle w:val="Compact"/>
      </w:pPr>
      <w:r>
        <w:t xml:space="preserve">generate the CA Key Pair using personnel in Trusted Roles under the principles of multiple person control and split knowledge;</w:t>
      </w:r>
    </w:p>
    <w:p>
      <w:pPr>
        <w:numPr>
          <w:ilvl w:val="0"/>
          <w:numId w:val="1059"/>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9"/>
        </w:numPr>
        <w:pStyle w:val="Compact"/>
      </w:pPr>
      <w:r>
        <w:t xml:space="preserve">log its CA Key Pair generation activities; and</w:t>
      </w:r>
    </w:p>
    <w:p>
      <w:pPr>
        <w:numPr>
          <w:ilvl w:val="0"/>
          <w:numId w:val="1059"/>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43"/>
    <w:bookmarkStart w:id="244" w:name="Xbda1ba31de541463be6497c054f7654505217bc"/>
    <w:p>
      <w:pPr>
        <w:pStyle w:val="Heading4"/>
      </w:pPr>
      <w:r>
        <w:t xml:space="preserve">6.1.1.2 RA Key Pair Generation</w:t>
      </w:r>
    </w:p>
    <w:bookmarkEnd w:id="244"/>
    <w:bookmarkStart w:id="245"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60"/>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60"/>
        </w:numPr>
        <w:pStyle w:val="Compact"/>
      </w:pPr>
      <w:r>
        <w:t xml:space="preserve">There is clear evidence that the specific method used to generate the Private Key was flawed;</w:t>
      </w:r>
    </w:p>
    <w:p>
      <w:pPr>
        <w:numPr>
          <w:ilvl w:val="0"/>
          <w:numId w:val="1060"/>
        </w:numPr>
        <w:pStyle w:val="Compact"/>
      </w:pPr>
      <w:r>
        <w:t xml:space="preserve">The CA is aware of a demonstrated or proven method that exposes the Applicant’s Private Key to compromise;</w:t>
      </w:r>
    </w:p>
    <w:p>
      <w:pPr>
        <w:numPr>
          <w:ilvl w:val="0"/>
          <w:numId w:val="1060"/>
        </w:numPr>
        <w:pStyle w:val="Compact"/>
      </w:pPr>
      <w:r>
        <w:t xml:space="preserve">The CA has previously been notified that the Applicant’s Private Key has suffered a Key Compromise using the CA’s procedure for revocation request as described in</w:t>
      </w:r>
      <w:r>
        <w:t xml:space="preserve"> </w:t>
      </w:r>
      <w:hyperlink w:anchor="X184c57b3dc212303fb6214ea6b4ce57cd8eca98">
        <w:r>
          <w:rPr>
            <w:rStyle w:val="Hyperlink"/>
          </w:rPr>
          <w:t xml:space="preserve">Section 4.9.3</w:t>
        </w:r>
      </w:hyperlink>
      <w:r>
        <w:t xml:space="preserve"> </w:t>
      </w:r>
      <w:r>
        <w:t xml:space="preserve">and</w:t>
      </w:r>
      <w:r>
        <w:t xml:space="preserve"> </w:t>
      </w:r>
      <w:hyperlink w:anchor="X083c1139a36580c2dff50346d11cd94fc8e4385">
        <w:r>
          <w:rPr>
            <w:rStyle w:val="Hyperlink"/>
          </w:rPr>
          <w:t xml:space="preserve">Section 4.9.12</w:t>
        </w:r>
      </w:hyperlink>
      <w:r>
        <w:t xml:space="preserve">;</w:t>
      </w:r>
    </w:p>
    <w:p>
      <w:pPr>
        <w:numPr>
          <w:ilvl w:val="0"/>
          <w:numId w:val="1060"/>
        </w:numPr>
        <w:pStyle w:val="Compact"/>
      </w:pPr>
      <w:r>
        <w:t xml:space="preserve">The Public Key corresponds to an industry-demonstrated weak Private Key. For requests submitted on or after November 15, 2024, at least the following precautions SHALL be implemented:</w:t>
      </w:r>
    </w:p>
    <w:p>
      <w:pPr>
        <w:numPr>
          <w:ilvl w:val="1"/>
          <w:numId w:val="1061"/>
        </w:numPr>
        <w:pStyle w:val="Compact"/>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w:t>
      </w:r>
      <w:r>
        <w:t xml:space="preserve"> </w:t>
      </w:r>
      <w:hyperlink w:anchor="X0c3917f405f720f56b6c3f29687ef8fb06831c1">
        <w:r>
          <w:rPr>
            <w:rStyle w:val="Hyperlink"/>
          </w:rPr>
          <w:t xml:space="preserve">Section 6.1.5</w:t>
        </w:r>
      </w:hyperlink>
      <w:r>
        <w:t xml:space="preserve">, with the exception of RSA key sizes greater than 8192 bits, the CA SHALL reject Debian weak keys.</w:t>
      </w:r>
    </w:p>
    <w:p>
      <w:pPr>
        <w:numPr>
          <w:ilvl w:val="1"/>
          <w:numId w:val="1061"/>
        </w:numPr>
        <w:pStyle w:val="Compact"/>
      </w:pPr>
      <w:r>
        <w:t xml:space="preserve">In the case of ROCA vulnerability, the CA SHALL reject keys identified by the tools available at https://github.com/crocs-muni/roca or equivalent.</w:t>
      </w:r>
    </w:p>
    <w:p>
      <w:pPr>
        <w:numPr>
          <w:ilvl w:val="1"/>
          <w:numId w:val="1061"/>
        </w:numPr>
        <w:pStyle w:val="Compact"/>
      </w:pPr>
      <w:r>
        <w:t xml:space="preserve">In the case of Close Primes vulnerability (https://fermatattack.secvuln.info/), the CA SHALL reject weak keys which can be factored within 100 rounds using Fermat’s factorization method.</w:t>
      </w:r>
    </w:p>
    <w:p>
      <w:pPr>
        <w:numPr>
          <w:ilvl w:val="0"/>
          <w:numId w:val="1000"/>
        </w:numPr>
        <w:pStyle w:val="Compact"/>
      </w:pPr>
      <w:r>
        <w:t xml:space="preserve">Suggested tools for checking for weak keys can be found here: https://cabforum.org/resources/tools/</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5"/>
    <w:bookmarkEnd w:id="246"/>
    <w:bookmarkStart w:id="247"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7"/>
    <w:bookmarkStart w:id="248" w:name="X1ef682463e5aa03f416600ae8c8baeec4477da6"/>
    <w:p>
      <w:pPr>
        <w:pStyle w:val="Heading3"/>
      </w:pPr>
      <w:r>
        <w:t xml:space="preserve">6.1.3 Public key delivery to certificate issuer</w:t>
      </w:r>
    </w:p>
    <w:bookmarkEnd w:id="248"/>
    <w:bookmarkStart w:id="249" w:name="X6498bbd610c6366a78bf186b13051bb09665541"/>
    <w:p>
      <w:pPr>
        <w:pStyle w:val="Heading3"/>
      </w:pPr>
      <w:r>
        <w:t xml:space="preserve">6.1.4 CA public key delivery to relying parties</w:t>
      </w:r>
    </w:p>
    <w:bookmarkEnd w:id="249"/>
    <w:bookmarkStart w:id="250" w:name="X0c3917f405f720f56b6c3f29687ef8fb06831c1"/>
    <w:p>
      <w:pPr>
        <w:pStyle w:val="Heading3"/>
      </w:pPr>
      <w:r>
        <w:t xml:space="preserve">6.1.5 Key sizes</w:t>
      </w:r>
    </w:p>
    <w:p>
      <w:pPr>
        <w:pStyle w:val="FirstParagraph"/>
      </w:pPr>
      <w:r>
        <w:t xml:space="preserve">For RSA key pairs the CA SHALL:</w:t>
      </w:r>
    </w:p>
    <w:p>
      <w:pPr>
        <w:numPr>
          <w:ilvl w:val="0"/>
          <w:numId w:val="1062"/>
        </w:numPr>
        <w:pStyle w:val="Compact"/>
      </w:pPr>
      <w:r>
        <w:t xml:space="preserve">Ensure that the modulus size, when encoded, is at least 2048 bits, and;</w:t>
      </w:r>
    </w:p>
    <w:p>
      <w:pPr>
        <w:numPr>
          <w:ilvl w:val="0"/>
          <w:numId w:val="1062"/>
        </w:numPr>
        <w:pStyle w:val="Compact"/>
      </w:pPr>
      <w:r>
        <w:t xml:space="preserve">Ensure that the modulus size, in bits, is evenly divisible by 8.</w:t>
      </w:r>
    </w:p>
    <w:p>
      <w:pPr>
        <w:pStyle w:val="FirstParagraph"/>
      </w:pPr>
      <w:r>
        <w:t xml:space="preserve">For ECDSA key pairs, the CA SHALL:</w:t>
      </w:r>
    </w:p>
    <w:p>
      <w:pPr>
        <w:numPr>
          <w:ilvl w:val="0"/>
          <w:numId w:val="1063"/>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50"/>
    <w:bookmarkStart w:id="251"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51"/>
    <w:bookmarkStart w:id="252"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64"/>
        </w:numPr>
        <w:pStyle w:val="Compact"/>
      </w:pPr>
      <w:r>
        <w:t xml:space="preserve">Self-signed Certificates to represent the Root CA itself;</w:t>
      </w:r>
    </w:p>
    <w:p>
      <w:pPr>
        <w:numPr>
          <w:ilvl w:val="0"/>
          <w:numId w:val="1064"/>
        </w:numPr>
        <w:pStyle w:val="Compact"/>
      </w:pPr>
      <w:r>
        <w:t xml:space="preserve">Certificates for Subordinate CAs and Cross-Certified Subordinate CA Certificates;</w:t>
      </w:r>
    </w:p>
    <w:p>
      <w:pPr>
        <w:numPr>
          <w:ilvl w:val="0"/>
          <w:numId w:val="1064"/>
        </w:numPr>
        <w:pStyle w:val="Compact"/>
      </w:pPr>
      <w:r>
        <w:t xml:space="preserve">Certificates for infrastructure purposes (administrative role certificates, internal CA operational device certificates); and</w:t>
      </w:r>
    </w:p>
    <w:p>
      <w:pPr>
        <w:numPr>
          <w:ilvl w:val="0"/>
          <w:numId w:val="1064"/>
        </w:numPr>
        <w:pStyle w:val="Compact"/>
      </w:pPr>
      <w:r>
        <w:t xml:space="preserve">Certificates for OCSP Response verification.</w:t>
      </w:r>
    </w:p>
    <w:bookmarkEnd w:id="252"/>
    <w:bookmarkEnd w:id="253"/>
    <w:bookmarkStart w:id="265"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54" w:name="X68a39abc270425c04f97d6531374600eb7c1d74"/>
    <w:p>
      <w:pPr>
        <w:pStyle w:val="Heading3"/>
      </w:pPr>
      <w:r>
        <w:t xml:space="preserve">6.2.1 Cryptographic module standards and controls</w:t>
      </w:r>
    </w:p>
    <w:bookmarkEnd w:id="254"/>
    <w:bookmarkStart w:id="255" w:name="Xb4a62a4346c24360b646c84e14d2f564e6a3c41"/>
    <w:p>
      <w:pPr>
        <w:pStyle w:val="Heading3"/>
      </w:pPr>
      <w:r>
        <w:t xml:space="preserve">6.2.2 Private key (n out of m) multi-person control</w:t>
      </w:r>
    </w:p>
    <w:bookmarkEnd w:id="255"/>
    <w:bookmarkStart w:id="256" w:name="X8bc7eca5ba74a1c2225b38c15b16cc7a70f8f4e"/>
    <w:p>
      <w:pPr>
        <w:pStyle w:val="Heading3"/>
      </w:pPr>
      <w:r>
        <w:t xml:space="preserve">6.2.3 Private key escrow</w:t>
      </w:r>
    </w:p>
    <w:bookmarkEnd w:id="256"/>
    <w:bookmarkStart w:id="257"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7"/>
    <w:bookmarkStart w:id="258"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8"/>
    <w:bookmarkStart w:id="259"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9"/>
    <w:bookmarkStart w:id="260"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60"/>
    <w:bookmarkStart w:id="261" w:name="X7a2c15a36f966a27af9ee62ea636ddb82848d39"/>
    <w:p>
      <w:pPr>
        <w:pStyle w:val="Heading3"/>
      </w:pPr>
      <w:r>
        <w:t xml:space="preserve">6.2.8 Activating Private Keys</w:t>
      </w:r>
    </w:p>
    <w:bookmarkEnd w:id="261"/>
    <w:bookmarkStart w:id="262" w:name="X21a31dbf85c98d8f06c390dccb493323c0770cb"/>
    <w:p>
      <w:pPr>
        <w:pStyle w:val="Heading3"/>
      </w:pPr>
      <w:r>
        <w:t xml:space="preserve">6.2.9 Deactivating Private Keys</w:t>
      </w:r>
    </w:p>
    <w:bookmarkEnd w:id="262"/>
    <w:bookmarkStart w:id="263" w:name="X5630ce5bbd0afadeceae428f00ee31b0b6bf473"/>
    <w:p>
      <w:pPr>
        <w:pStyle w:val="Heading3"/>
      </w:pPr>
      <w:r>
        <w:t xml:space="preserve">6.2.10 Destroying Private Keys</w:t>
      </w:r>
    </w:p>
    <w:bookmarkEnd w:id="263"/>
    <w:bookmarkStart w:id="264" w:name="X19fcf750df4f24cc232ac50465de403dd847232"/>
    <w:p>
      <w:pPr>
        <w:pStyle w:val="Heading3"/>
      </w:pPr>
      <w:r>
        <w:t xml:space="preserve">6.2.11 Cryptographic Module Rating</w:t>
      </w:r>
    </w:p>
    <w:bookmarkEnd w:id="264"/>
    <w:bookmarkEnd w:id="265"/>
    <w:bookmarkStart w:id="268" w:name="X5ab8f3c3a6dce3cec1684e8c8b2bf52a9e387e4"/>
    <w:p>
      <w:pPr>
        <w:pStyle w:val="Heading2"/>
      </w:pPr>
      <w:r>
        <w:t xml:space="preserve">6.3 Other aspects of key pair management</w:t>
      </w:r>
    </w:p>
    <w:bookmarkStart w:id="266" w:name="Xae64db4a412b946f1bc338b553316855d5c1242"/>
    <w:p>
      <w:pPr>
        <w:pStyle w:val="Heading3"/>
      </w:pPr>
      <w:r>
        <w:t xml:space="preserve">6.3.1 Public key archival</w:t>
      </w:r>
    </w:p>
    <w:bookmarkEnd w:id="266"/>
    <w:bookmarkStart w:id="267"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7"/>
    <w:bookmarkEnd w:id="268"/>
    <w:bookmarkStart w:id="272" w:name="X0ac44edc618408470532bf5d65ab83a0bdb97eb"/>
    <w:p>
      <w:pPr>
        <w:pStyle w:val="Heading2"/>
      </w:pPr>
      <w:r>
        <w:t xml:space="preserve">6.4 Activation data</w:t>
      </w:r>
    </w:p>
    <w:bookmarkStart w:id="269" w:name="Xf6904f8e94ded1d13f98f58de9461c7b7b0e1cc"/>
    <w:p>
      <w:pPr>
        <w:pStyle w:val="Heading3"/>
      </w:pPr>
      <w:r>
        <w:t xml:space="preserve">6.4.1 Activation data generation and installation</w:t>
      </w:r>
    </w:p>
    <w:bookmarkEnd w:id="269"/>
    <w:bookmarkStart w:id="270" w:name="X47305ab4bee35c7331e2ab3daabc8470519bb8f"/>
    <w:p>
      <w:pPr>
        <w:pStyle w:val="Heading3"/>
      </w:pPr>
      <w:r>
        <w:t xml:space="preserve">6.4.2 Activation data protection</w:t>
      </w:r>
    </w:p>
    <w:bookmarkEnd w:id="270"/>
    <w:bookmarkStart w:id="271" w:name="Xcd03a8edfb70c8912db98299e520d0a128a209d"/>
    <w:p>
      <w:pPr>
        <w:pStyle w:val="Heading3"/>
      </w:pPr>
      <w:r>
        <w:t xml:space="preserve">6.4.3 Other aspects of activation data</w:t>
      </w:r>
    </w:p>
    <w:bookmarkEnd w:id="271"/>
    <w:bookmarkEnd w:id="272"/>
    <w:bookmarkStart w:id="275" w:name="X694a5bc76ac2e22ee2d9d7f6e288b395840c800"/>
    <w:p>
      <w:pPr>
        <w:pStyle w:val="Heading2"/>
      </w:pPr>
      <w:r>
        <w:t xml:space="preserve">6.5 Computer security controls</w:t>
      </w:r>
    </w:p>
    <w:bookmarkStart w:id="273"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73"/>
    <w:bookmarkStart w:id="274" w:name="X9f9a270aa6b4ee86a15c4fa1b919e594b21d013"/>
    <w:p>
      <w:pPr>
        <w:pStyle w:val="Heading3"/>
      </w:pPr>
      <w:r>
        <w:t xml:space="preserve">6.5.2 Computer security rating</w:t>
      </w:r>
    </w:p>
    <w:bookmarkEnd w:id="274"/>
    <w:bookmarkEnd w:id="275"/>
    <w:bookmarkStart w:id="279" w:name="Xaa585178aff06e1acf1e18a11a784252db1f3ad"/>
    <w:p>
      <w:pPr>
        <w:pStyle w:val="Heading2"/>
      </w:pPr>
      <w:r>
        <w:t xml:space="preserve">6.6 Life cycle technical controls</w:t>
      </w:r>
    </w:p>
    <w:bookmarkStart w:id="276" w:name="Xfd25ddf24ddc4e729bd7b6ba0f19cc22a3f04eb"/>
    <w:p>
      <w:pPr>
        <w:pStyle w:val="Heading3"/>
      </w:pPr>
      <w:r>
        <w:t xml:space="preserve">6.6.1 System development controls</w:t>
      </w:r>
    </w:p>
    <w:p>
      <w:pPr>
        <w:pStyle w:val="FirstParagraph"/>
      </w:pPr>
      <w:r>
        <w:t xml:space="preserve">If a CA uses Linting software developed by third parties, it SHOULD monitor for updated versions of that software and plan for updates no later than three (3) months from the release of the update.</w:t>
      </w:r>
    </w:p>
    <w:p>
      <w:pPr>
        <w:pStyle w:val="BodyText"/>
      </w:pPr>
      <w:r>
        <w:t xml:space="preserve">The CA MAY perform Linting on the corpus of its unexpired, un-revoked Subscriber Certificates whenever it updates the Linting software.</w:t>
      </w:r>
    </w:p>
    <w:bookmarkEnd w:id="276"/>
    <w:bookmarkStart w:id="277" w:name="X040f1b7a0297395b06c1959c026dba453f59683"/>
    <w:p>
      <w:pPr>
        <w:pStyle w:val="Heading3"/>
      </w:pPr>
      <w:r>
        <w:t xml:space="preserve">6.6.2 Security management controls</w:t>
      </w:r>
    </w:p>
    <w:bookmarkEnd w:id="277"/>
    <w:bookmarkStart w:id="278" w:name="Xffe126e154b0fd5bfef0d6a5c840f02ba388c3c"/>
    <w:p>
      <w:pPr>
        <w:pStyle w:val="Heading3"/>
      </w:pPr>
      <w:r>
        <w:t xml:space="preserve">6.6.3 Life cycle security controls</w:t>
      </w:r>
    </w:p>
    <w:bookmarkEnd w:id="278"/>
    <w:bookmarkEnd w:id="279"/>
    <w:bookmarkStart w:id="280" w:name="X5f8ed0a1cbf4e59180219d893d8c669895e1221"/>
    <w:p>
      <w:pPr>
        <w:pStyle w:val="Heading2"/>
      </w:pPr>
      <w:r>
        <w:t xml:space="preserve">6.7 Network security controls</w:t>
      </w:r>
    </w:p>
    <w:bookmarkEnd w:id="280"/>
    <w:bookmarkStart w:id="281" w:name="X2a9600ace6db1c0de419e0f9e7befd9854af4c3"/>
    <w:p>
      <w:pPr>
        <w:pStyle w:val="Heading2"/>
      </w:pPr>
      <w:r>
        <w:t xml:space="preserve">6.8 Time-stamping</w:t>
      </w:r>
    </w:p>
    <w:bookmarkEnd w:id="281"/>
    <w:bookmarkEnd w:id="282"/>
    <w:bookmarkStart w:id="417" w:name="X95198f484670bdff8589f31e1566b08426ae7bd"/>
    <w:p>
      <w:pPr>
        <w:pStyle w:val="Heading1"/>
      </w:pPr>
      <w:r>
        <w:t xml:space="preserve">7. CERTIFICATE, CRL, AND OCSP PROFILES</w:t>
      </w:r>
    </w:p>
    <w:bookmarkStart w:id="409"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83" w:name="Xcc483d361fb691755573f3eb2d84e2d91e6df1d"/>
    <w:p>
      <w:pPr>
        <w:pStyle w:val="Heading3"/>
      </w:pPr>
      <w:r>
        <w:t xml:space="preserve">7.1.1 Version number(s)</w:t>
      </w:r>
    </w:p>
    <w:p>
      <w:pPr>
        <w:pStyle w:val="FirstParagraph"/>
      </w:pPr>
      <w:r>
        <w:t xml:space="preserve">Certificates MUST be of type X.509 v3.</w:t>
      </w:r>
    </w:p>
    <w:bookmarkEnd w:id="283"/>
    <w:bookmarkStart w:id="383"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84">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5">
        <w:r>
          <w:rPr>
            <w:rStyle w:val="Hyperlink"/>
          </w:rPr>
          <w:t xml:space="preserve">RFC 5280, Appendix B</w:t>
        </w:r>
      </w:hyperlink>
      <w:r>
        <w:t xml:space="preserve"> </w:t>
      </w:r>
      <w:r>
        <w:t xml:space="preserve">for further issues to be aware of.</w:t>
      </w:r>
    </w:p>
    <w:p>
      <w:pPr>
        <w:numPr>
          <w:ilvl w:val="0"/>
          <w:numId w:val="1065"/>
        </w:numPr>
        <w:pStyle w:val="Compact"/>
      </w:pPr>
      <w:r>
        <w:t xml:space="preserve">CA Certificates</w:t>
      </w:r>
    </w:p>
    <w:p>
      <w:pPr>
        <w:numPr>
          <w:ilvl w:val="1"/>
          <w:numId w:val="1066"/>
        </w:numPr>
        <w:pStyle w:val="Compact"/>
      </w:pPr>
      <w:hyperlink w:anchor="Xdacc159fcd91102443e9f7b27387435a3784564">
        <w:r>
          <w:rPr>
            <w:rStyle w:val="Hyperlink"/>
          </w:rPr>
          <w:t xml:space="preserve">Section 7.1.2.1 - Root CA Certificate Profile</w:t>
        </w:r>
      </w:hyperlink>
    </w:p>
    <w:p>
      <w:pPr>
        <w:numPr>
          <w:ilvl w:val="1"/>
          <w:numId w:val="1066"/>
        </w:numPr>
        <w:pStyle w:val="Compact"/>
      </w:pPr>
      <w:r>
        <w:t xml:space="preserve">Subordinate CA Certificates</w:t>
      </w:r>
    </w:p>
    <w:p>
      <w:pPr>
        <w:numPr>
          <w:ilvl w:val="2"/>
          <w:numId w:val="1067"/>
        </w:numPr>
        <w:pStyle w:val="Compact"/>
      </w:pPr>
      <w:r>
        <w:t xml:space="preserve">Cross Certificates</w:t>
      </w:r>
    </w:p>
    <w:p>
      <w:pPr>
        <w:numPr>
          <w:ilvl w:val="3"/>
          <w:numId w:val="1068"/>
        </w:numPr>
        <w:pStyle w:val="Compact"/>
      </w:pPr>
      <w:hyperlink w:anchor="Xb746bb0b8a47d793259530ec7ac4ab811a8eaa8">
        <w:r>
          <w:rPr>
            <w:rStyle w:val="Hyperlink"/>
          </w:rPr>
          <w:t xml:space="preserve">Section 7.1.2.2 - Cross-Certified Subordinate CA Certificate Profile</w:t>
        </w:r>
      </w:hyperlink>
    </w:p>
    <w:p>
      <w:pPr>
        <w:numPr>
          <w:ilvl w:val="2"/>
          <w:numId w:val="1067"/>
        </w:numPr>
        <w:pStyle w:val="Compact"/>
      </w:pPr>
      <w:r>
        <w:t xml:space="preserve">Technically Constrained CA Certificates</w:t>
      </w:r>
    </w:p>
    <w:p>
      <w:pPr>
        <w:numPr>
          <w:ilvl w:val="3"/>
          <w:numId w:val="1069"/>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9"/>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9"/>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7"/>
        </w:numPr>
        <w:pStyle w:val="Compact"/>
      </w:pPr>
      <w:hyperlink w:anchor="X99197482bfd77aca3a2b561b19fa1ecfd02e70d">
        <w:r>
          <w:rPr>
            <w:rStyle w:val="Hyperlink"/>
          </w:rPr>
          <w:t xml:space="preserve">Section 7.1.2.6 - TLS Subordinate CA Certificate Profile</w:t>
        </w:r>
      </w:hyperlink>
    </w:p>
    <w:p>
      <w:pPr>
        <w:numPr>
          <w:ilvl w:val="0"/>
          <w:numId w:val="1065"/>
        </w:numPr>
        <w:pStyle w:val="Compact"/>
      </w:pPr>
      <w:hyperlink w:anchor="Xcda3b49a670e03c0ddaee43338cd2bee31b9631">
        <w:r>
          <w:rPr>
            <w:rStyle w:val="Hyperlink"/>
          </w:rPr>
          <w:t xml:space="preserve">Section 7.1.2.7 - Subscriber (End-Entity) Certificate Profile</w:t>
        </w:r>
      </w:hyperlink>
    </w:p>
    <w:p>
      <w:pPr>
        <w:numPr>
          <w:ilvl w:val="0"/>
          <w:numId w:val="1065"/>
        </w:numPr>
        <w:pStyle w:val="Compact"/>
      </w:pPr>
      <w:hyperlink w:anchor="X9abe9cbfc0842599f0ee8c86e16112f68ee99ce">
        <w:r>
          <w:rPr>
            <w:rStyle w:val="Hyperlink"/>
          </w:rPr>
          <w:t xml:space="preserve">Section 7.1.2.8 - OCSP Responder Certificate Profile</w:t>
        </w:r>
      </w:hyperlink>
    </w:p>
    <w:p>
      <w:pPr>
        <w:numPr>
          <w:ilvl w:val="0"/>
          <w:numId w:val="1065"/>
        </w:numPr>
        <w:pStyle w:val="Compact"/>
      </w:pPr>
      <w:hyperlink w:anchor="Xcb2d3f29b52e459935bf97d91c89d922117914a">
        <w:r>
          <w:rPr>
            <w:rStyle w:val="Hyperlink"/>
          </w:rPr>
          <w:t xml:space="preserve">Section 7.1.2.9 - Precertificate Profile</w:t>
        </w:r>
      </w:hyperlink>
    </w:p>
    <w:bookmarkStart w:id="290"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6"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6"/>
    <w:bookmarkStart w:id="287"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7"/>
    <w:bookmarkStart w:id="288"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8"/>
    <w:bookmarkStart w:id="289"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9"/>
    <w:bookmarkEnd w:id="290"/>
    <w:bookmarkStart w:id="302"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1"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91"/>
    <w:bookmarkStart w:id="292"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92"/>
    <w:bookmarkStart w:id="297"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7420368a1bec9e8d874f832f643e03ccec1e6f">
              <w:r>
                <w:rPr>
                  <w:rStyle w:val="Hyperlink"/>
                </w:rPr>
                <w:t xml:space="preserve">Section 7.1.2.2.6</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3"/>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94"/>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6"/>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7"/>
    <w:bookmarkStart w:id="298"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8"/>
    <w:bookmarkStart w:id="299"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70"/>
        </w:numPr>
        <w:pStyle w:val="Compact"/>
      </w:pPr>
      <w:r>
        <w:t xml:space="preserve">MUST apply in the context of the public Internet (e.g. MUST NOT be for a service that is only valid in a privately managed network), unless:</w:t>
      </w:r>
    </w:p>
    <w:p>
      <w:pPr>
        <w:numPr>
          <w:ilvl w:val="1"/>
          <w:numId w:val="1071"/>
        </w:numPr>
        <w:pStyle w:val="Compact"/>
      </w:pPr>
      <w:r>
        <w:t xml:space="preserve">the key usage purpose falls within an OID arc for which the Applicant demonstrates ownership; or,</w:t>
      </w:r>
    </w:p>
    <w:p>
      <w:pPr>
        <w:numPr>
          <w:ilvl w:val="1"/>
          <w:numId w:val="1071"/>
        </w:numPr>
        <w:pStyle w:val="Compact"/>
      </w:pPr>
      <w:r>
        <w:t xml:space="preserve">the Applicant can otherwise demonstrate the right to assert the key usage purpose in a public context.</w:t>
      </w:r>
    </w:p>
    <w:p>
      <w:pPr>
        <w:numPr>
          <w:ilvl w:val="0"/>
          <w:numId w:val="1070"/>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70"/>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9"/>
    <w:bookmarkStart w:id="301" w:name="Xb7420368a1bec9e8d874f832f643e03ccec1e6f"/>
    <w:p>
      <w:pPr>
        <w:pStyle w:val="Heading5"/>
      </w:pPr>
      <w:r>
        <w:t xml:space="preserve">7.1.2.2.6 Cross-Certified Subordinate CA Certificate Certificate Policies</w:t>
      </w:r>
    </w:p>
    <w:p>
      <w:pPr>
        <w:pStyle w:val="FirstParagraph"/>
      </w:pPr>
      <w:r>
        <w:t xml:space="preserve">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and if the Subordinate CA is an Affiliate of the Issuing CA, then the Issuing CA MAY use the</w:t>
            </w:r>
            <w:r>
              <w:t xml:space="preserve"> </w:t>
            </w:r>
            <w:r>
              <w:rPr>
                <w:rStyle w:val="VerbatimChar"/>
              </w:rPr>
              <w:t xml:space="preserve">anyPolicy</w:t>
            </w:r>
            <w:r>
              <w:t xml:space="preserve"> </w:t>
            </w:r>
            <w:r>
              <w:t xml:space="preserve">Policy Identifier, which MUST be the only</w:t>
            </w:r>
            <w:r>
              <w:t xml:space="preserve"> </w:t>
            </w:r>
            <w:r>
              <w:rPr>
                <w:rStyle w:val="VerbatimChar"/>
              </w:rPr>
              <w:t xml:space="preserve">PolicyInformation</w:t>
            </w:r>
            <w:r>
              <w:t xml:space="preserve"> </w:t>
            </w:r>
            <w:r>
              <w:t xml:space="preserve">value.</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00"/>
      </w:r>
      <w:r>
        <w:t xml:space="preserve">. Regardless of the order of</w:t>
      </w:r>
      <w:r>
        <w:t xml:space="preserve"> </w:t>
      </w:r>
      <w:r>
        <w:rPr>
          <w:rStyle w:val="VerbatimChar"/>
        </w:rPr>
        <w:t xml:space="preserve">PolicyInformation</w:t>
      </w:r>
      <w:r>
        <w:t xml:space="preserve"> </w:t>
      </w:r>
      <w:r>
        <w:t xml:space="preserve">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1"/>
    <w:bookmarkEnd w:id="302"/>
    <w:bookmarkStart w:id="308"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5"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3"/>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4"/>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5"/>
    <w:bookmarkStart w:id="306"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6"/>
    <w:bookmarkStart w:id="307"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7"/>
    <w:bookmarkEnd w:id="308"/>
    <w:bookmarkStart w:id="315"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9">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10">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3"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1"/>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2"/>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3"/>
    <w:bookmarkStart w:id="314"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14"/>
    <w:bookmarkEnd w:id="315"/>
    <w:bookmarkStart w:id="320"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8"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6"/>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7"/>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8"/>
    <w:bookmarkStart w:id="319"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2"/>
        </w:numPr>
        <w:pStyle w:val="Compact"/>
      </w:pPr>
      <w:r>
        <w:t xml:space="preserve">MUST apply in the context of the public Internet, unless:</w:t>
      </w:r>
    </w:p>
    <w:p>
      <w:pPr>
        <w:numPr>
          <w:ilvl w:val="1"/>
          <w:numId w:val="1073"/>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3"/>
        </w:numPr>
        <w:pStyle w:val="Compact"/>
      </w:pPr>
      <w:r>
        <w:t xml:space="preserve">the Applicant can otherwise demonstrate the right to assert the data in a public context.</w:t>
      </w:r>
    </w:p>
    <w:p>
      <w:pPr>
        <w:numPr>
          <w:ilvl w:val="0"/>
          <w:numId w:val="1072"/>
        </w:numPr>
        <w:pStyle w:val="Compact"/>
      </w:pPr>
      <w:r>
        <w:t xml:space="preserve">MUST NOT include semantics that will mislead the Relying Party about certificate information verified by the CA.</w:t>
      </w:r>
    </w:p>
    <w:p>
      <w:pPr>
        <w:numPr>
          <w:ilvl w:val="0"/>
          <w:numId w:val="1072"/>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9"/>
    <w:bookmarkEnd w:id="320"/>
    <w:bookmarkStart w:id="324"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3"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21"/>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22"/>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23"/>
    <w:bookmarkEnd w:id="324"/>
    <w:bookmarkStart w:id="339"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5"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25"/>
    <w:bookmarkStart w:id="326"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6"/>
    <w:bookmarkStart w:id="327"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or DBA.</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7"/>
    <w:bookmarkStart w:id="328"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8"/>
    <w:bookmarkStart w:id="329"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7.1.4.2.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9"/>
    <w:bookmarkStart w:id="330"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30"/>
    <w:bookmarkStart w:id="331"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31"/>
    <w:bookmarkStart w:id="332"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32"/>
    <w:bookmarkStart w:id="334"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33"/>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34"/>
    <w:bookmarkStart w:id="335"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35"/>
    <w:bookmarkStart w:id="336"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36"/>
    <w:bookmarkStart w:id="338"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7">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8"/>
    <w:bookmarkEnd w:id="339"/>
    <w:bookmarkStart w:id="350"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40">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41"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41"/>
    <w:bookmarkStart w:id="342"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42"/>
    <w:bookmarkStart w:id="343"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43"/>
    <w:bookmarkStart w:id="344"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44"/>
    <w:bookmarkStart w:id="345"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45"/>
    <w:bookmarkStart w:id="347"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46">
        <w:r>
          <w:rPr>
            <w:rStyle w:val="Hyperlink"/>
          </w:rPr>
          <w:t xml:space="preserve">RFC 6960, Section 4.2.2.2.1</w:t>
        </w:r>
      </w:hyperlink>
      <w:r>
        <w:t xml:space="preserve">.</w:t>
      </w:r>
    </w:p>
    <w:bookmarkEnd w:id="347"/>
    <w:bookmarkStart w:id="348"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8"/>
    <w:bookmarkStart w:id="349"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9"/>
    <w:bookmarkEnd w:id="350"/>
    <w:bookmarkStart w:id="362"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51">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52">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53">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54">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55"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55"/>
    <w:bookmarkStart w:id="356"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53">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56"/>
    <w:bookmarkStart w:id="358"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7">
        <w:r>
          <w:rPr>
            <w:rStyle w:val="Hyperlink"/>
          </w:rPr>
          <w:t xml:space="preserve">RFC 6962, Section 3.1</w:t>
        </w:r>
      </w:hyperlink>
      <w:r>
        <w:t xml:space="preserve">.</w:t>
      </w:r>
    </w:p>
    <w:bookmarkEnd w:id="358"/>
    <w:bookmarkStart w:id="361"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74"/>
        </w:numPr>
        <w:pStyle w:val="Compact"/>
      </w:pPr>
      <w:r>
        <w:t xml:space="preserve">SHOULD be as defined in the profile below, or;</w:t>
      </w:r>
    </w:p>
    <w:p>
      <w:pPr>
        <w:numPr>
          <w:ilvl w:val="0"/>
          <w:numId w:val="1074"/>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9">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60">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61"/>
    <w:bookmarkEnd w:id="362"/>
    <w:bookmarkStart w:id="374"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3"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63"/>
    <w:bookmarkStart w:id="364"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64"/>
    <w:bookmarkStart w:id="365"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65"/>
    <w:bookmarkStart w:id="366"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66"/>
    <w:bookmarkStart w:id="368"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and if the Subordinate CA is an Affiliate of the Issuing CA, then the Issuing CA MAY use the</w:t>
            </w:r>
            <w:r>
              <w:t xml:space="preserve"> </w:t>
            </w:r>
            <w:r>
              <w:rPr>
                <w:rStyle w:val="VerbatimChar"/>
              </w:rPr>
              <w:t xml:space="preserve">anyPolicy</w:t>
            </w:r>
            <w:r>
              <w:t xml:space="preserve"> </w:t>
            </w:r>
            <w:r>
              <w:t xml:space="preserve">Policy Identifier, which MUST be the only</w:t>
            </w:r>
            <w:r>
              <w:t xml:space="preserve"> </w:t>
            </w:r>
            <w:r>
              <w:rPr>
                <w:rStyle w:val="VerbatimChar"/>
              </w:rPr>
              <w:t xml:space="preserve">PolicyInformation</w:t>
            </w:r>
            <w:r>
              <w:t xml:space="preserve"> </w:t>
            </w:r>
            <w:r>
              <w:t xml:space="preserve">value.</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7"/>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8"/>
    <w:bookmarkStart w:id="369"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9"/>
    <w:bookmarkStart w:id="371"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70"/>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71"/>
    <w:bookmarkStart w:id="373"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72">
              <w:r>
                <w:rPr>
                  <w:rStyle w:val="Hyperlink"/>
                </w:rPr>
                <w:t xml:space="preserve">RFC 5280, Section 4.2.1.10</w:t>
              </w:r>
            </w:hyperlink>
            <w:r>
              <w:t xml:space="preserve">. For each host, domain, or Domain portion of a Mailbox (as specified within</w:t>
            </w:r>
            <w:r>
              <w:t xml:space="preserve"> </w:t>
            </w:r>
            <w:hyperlink r:id="rId337">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5"/>
        </w:numPr>
        <w:pStyle w:val="Compact"/>
      </w:pPr>
      <w:r>
        <w:t xml:space="preserve">MUST apply in the context of the public Internet, unless:</w:t>
      </w:r>
    </w:p>
    <w:p>
      <w:pPr>
        <w:numPr>
          <w:ilvl w:val="1"/>
          <w:numId w:val="1076"/>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6"/>
        </w:numPr>
        <w:pStyle w:val="Compact"/>
      </w:pPr>
      <w:r>
        <w:t xml:space="preserve">the Applicant can otherwise demonstrate the right to assert the data in a public context.</w:t>
      </w:r>
    </w:p>
    <w:p>
      <w:pPr>
        <w:numPr>
          <w:ilvl w:val="0"/>
          <w:numId w:val="1075"/>
        </w:numPr>
        <w:pStyle w:val="Compact"/>
      </w:pPr>
      <w:r>
        <w:t xml:space="preserve">MUST NOT include semantics that will mislead the Relying Party about certificate information verified by the CA.</w:t>
      </w:r>
    </w:p>
    <w:p>
      <w:pPr>
        <w:numPr>
          <w:ilvl w:val="0"/>
          <w:numId w:val="1075"/>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73"/>
    <w:bookmarkEnd w:id="374"/>
    <w:bookmarkStart w:id="382"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75"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75"/>
    <w:bookmarkStart w:id="376"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7"/>
        </w:numPr>
        <w:pStyle w:val="Compact"/>
      </w:pPr>
      <w:r>
        <w:t xml:space="preserve">Subordinate CA Certificates; and</w:t>
      </w:r>
    </w:p>
    <w:p>
      <w:pPr>
        <w:numPr>
          <w:ilvl w:val="0"/>
          <w:numId w:val="1077"/>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8"/>
        </w:numPr>
        <w:pStyle w:val="Compact"/>
      </w:pPr>
      <w:r>
        <w:t xml:space="preserve">Root CA Certificates.</w:t>
      </w:r>
    </w:p>
    <w:p>
      <w:pPr>
        <w:pStyle w:val="FirstParagraph"/>
      </w:pPr>
      <w:r>
        <w:t xml:space="preserve">The CRL Distribution Points extension is OPTIONAL in:</w:t>
      </w:r>
    </w:p>
    <w:p>
      <w:pPr>
        <w:numPr>
          <w:ilvl w:val="0"/>
          <w:numId w:val="1079"/>
        </w:numPr>
        <w:pStyle w:val="Compact"/>
      </w:pPr>
      <w:r>
        <w:t xml:space="preserve">Short-lived Subscriber Certificates.</w:t>
      </w:r>
    </w:p>
    <w:p>
      <w:pPr>
        <w:pStyle w:val="FirstParagraph"/>
      </w:pPr>
      <w:r>
        <w:t xml:space="preserve">The CRL Distribution Points extension MUST NOT be present in:</w:t>
      </w:r>
    </w:p>
    <w:p>
      <w:pPr>
        <w:numPr>
          <w:ilvl w:val="0"/>
          <w:numId w:val="1080"/>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76"/>
    <w:bookmarkStart w:id="378"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7">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8"/>
    <w:bookmarkStart w:id="380"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9">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80"/>
    <w:bookmarkStart w:id="381"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81"/>
        </w:numPr>
        <w:pStyle w:val="Compact"/>
      </w:pPr>
      <w:r>
        <w:t xml:space="preserve">MUST apply in the context of the public Internet, unless:</w:t>
      </w:r>
    </w:p>
    <w:p>
      <w:pPr>
        <w:numPr>
          <w:ilvl w:val="1"/>
          <w:numId w:val="1082"/>
        </w:numPr>
        <w:pStyle w:val="Compact"/>
      </w:pPr>
      <w:r>
        <w:t xml:space="preserve">the extension OID falls within an OID arc for which the Applicant demonstrates ownership, or,</w:t>
      </w:r>
    </w:p>
    <w:p>
      <w:pPr>
        <w:numPr>
          <w:ilvl w:val="1"/>
          <w:numId w:val="1082"/>
        </w:numPr>
        <w:pStyle w:val="Compact"/>
      </w:pPr>
      <w:r>
        <w:t xml:space="preserve">the Applicant can otherwise demonstrate the right to assert the data in a public context.</w:t>
      </w:r>
    </w:p>
    <w:p>
      <w:pPr>
        <w:numPr>
          <w:ilvl w:val="0"/>
          <w:numId w:val="1081"/>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81"/>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81"/>
    <w:bookmarkEnd w:id="382"/>
    <w:bookmarkEnd w:id="383"/>
    <w:bookmarkStart w:id="390" w:name="Xe8d74dc6bb127d217fc11248b8c986acc35ebab"/>
    <w:p>
      <w:pPr>
        <w:pStyle w:val="Heading3"/>
      </w:pPr>
      <w:r>
        <w:t xml:space="preserve">7.1.3 Algorithm object identifiers</w:t>
      </w:r>
    </w:p>
    <w:bookmarkStart w:id="386"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84"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84"/>
    <w:bookmarkStart w:id="385"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83"/>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83"/>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83"/>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84"/>
        </w:numPr>
        <w:pStyle w:val="Compact"/>
      </w:pPr>
      <w:r>
        <w:t xml:space="preserve">For P-256 keys,</w:t>
      </w:r>
      <w:r>
        <w:t xml:space="preserve"> </w:t>
      </w:r>
      <w:r>
        <w:rPr>
          <w:rStyle w:val="VerbatimChar"/>
        </w:rPr>
        <w:t xml:space="preserve">301306072a8648ce3d020106082a8648ce3d030107</w:t>
      </w:r>
      <w:r>
        <w:t xml:space="preserve">.</w:t>
      </w:r>
    </w:p>
    <w:p>
      <w:pPr>
        <w:numPr>
          <w:ilvl w:val="0"/>
          <w:numId w:val="1084"/>
        </w:numPr>
        <w:pStyle w:val="Compact"/>
      </w:pPr>
      <w:r>
        <w:t xml:space="preserve">For P-384 keys,</w:t>
      </w:r>
      <w:r>
        <w:t xml:space="preserve"> </w:t>
      </w:r>
      <w:r>
        <w:rPr>
          <w:rStyle w:val="VerbatimChar"/>
        </w:rPr>
        <w:t xml:space="preserve">301006072a8648ce3d020106052b81040022</w:t>
      </w:r>
      <w:r>
        <w:t xml:space="preserve">.</w:t>
      </w:r>
    </w:p>
    <w:p>
      <w:pPr>
        <w:numPr>
          <w:ilvl w:val="0"/>
          <w:numId w:val="1084"/>
        </w:numPr>
        <w:pStyle w:val="Compact"/>
      </w:pPr>
      <w:r>
        <w:t xml:space="preserve">For P-521 keys,</w:t>
      </w:r>
      <w:r>
        <w:t xml:space="preserve"> </w:t>
      </w:r>
      <w:r>
        <w:rPr>
          <w:rStyle w:val="VerbatimChar"/>
        </w:rPr>
        <w:t xml:space="preserve">301006072a8648ce3d020106052b81040023</w:t>
      </w:r>
      <w:r>
        <w:t xml:space="preserve">.</w:t>
      </w:r>
    </w:p>
    <w:bookmarkEnd w:id="385"/>
    <w:bookmarkEnd w:id="386"/>
    <w:bookmarkStart w:id="389"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85"/>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85"/>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7"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86"/>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86"/>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86"/>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86"/>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86"/>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86"/>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7"/>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8"/>
        </w:numPr>
        <w:pStyle w:val="Compact"/>
      </w:pPr>
      <w:r>
        <w:t xml:space="preserve">The new Certificate is a Root CA Certificate or Subordinate CA Certificate that is a Cross-Certificate; and,</w:t>
      </w:r>
    </w:p>
    <w:p>
      <w:pPr>
        <w:numPr>
          <w:ilvl w:val="1"/>
          <w:numId w:val="1088"/>
        </w:numPr>
        <w:pStyle w:val="Compact"/>
      </w:pPr>
      <w:r>
        <w:t xml:space="preserve">There is an existing Certificate, issued by the same issuing CA Certificate, using the following encoding for the signature algorithm; and,</w:t>
      </w:r>
    </w:p>
    <w:p>
      <w:pPr>
        <w:numPr>
          <w:ilvl w:val="1"/>
          <w:numId w:val="1088"/>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8"/>
        </w:numPr>
        <w:pStyle w:val="Compact"/>
      </w:pPr>
      <w:r>
        <w:t xml:space="preserve">The only differences between the new Certificate and existing Certificate are one of the following:</w:t>
      </w:r>
    </w:p>
    <w:p>
      <w:pPr>
        <w:numPr>
          <w:ilvl w:val="2"/>
          <w:numId w:val="1089"/>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9"/>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9"/>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9"/>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7"/>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90"/>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90"/>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7"/>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91"/>
        </w:numPr>
        <w:pStyle w:val="Compact"/>
      </w:pPr>
      <w:r>
        <w:t xml:space="preserve">The CRL is referenced by one or more Root CA or Subordinate CA Certificates; and,</w:t>
      </w:r>
    </w:p>
    <w:p>
      <w:pPr>
        <w:numPr>
          <w:ilvl w:val="1"/>
          <w:numId w:val="1091"/>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92"/>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7"/>
    <w:bookmarkStart w:id="388"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8"/>
    <w:bookmarkEnd w:id="389"/>
    <w:bookmarkEnd w:id="390"/>
    <w:bookmarkStart w:id="402"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93"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91">
        <w:r>
          <w:rPr>
            <w:rStyle w:val="Hyperlink"/>
          </w:rPr>
          <w:t xml:space="preserve">RFC 5280, Section 6</w:t>
        </w:r>
      </w:hyperlink>
      <w:r>
        <w:t xml:space="preserve">):</w:t>
      </w:r>
    </w:p>
    <w:p>
      <w:pPr>
        <w:numPr>
          <w:ilvl w:val="0"/>
          <w:numId w:val="1093"/>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93"/>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92">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94"/>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94"/>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94"/>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95"/>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94"/>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93"/>
    <w:bookmarkStart w:id="399"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4"/>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95">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6"/>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7"/>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8"/>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9"/>
    <w:bookmarkStart w:id="400"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96"/>
        </w:numPr>
        <w:pStyle w:val="Compact"/>
      </w:pPr>
      <w:r>
        <w:t xml:space="preserve">If the value is an IPv4 address, then the value MUST be encoded as an IPv4Address as specified in RFC 3986, Section 3.2.2.</w:t>
      </w:r>
    </w:p>
    <w:p>
      <w:pPr>
        <w:numPr>
          <w:ilvl w:val="0"/>
          <w:numId w:val="1096"/>
        </w:numPr>
        <w:pStyle w:val="Compact"/>
      </w:pPr>
      <w:r>
        <w:t xml:space="preserve">If the value is an IPv6 address, then the value MUST be encoded in the text representation specified in RFC 5952, Section 4.</w:t>
      </w:r>
    </w:p>
    <w:p>
      <w:pPr>
        <w:numPr>
          <w:ilvl w:val="0"/>
          <w:numId w:val="1096"/>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400"/>
    <w:bookmarkStart w:id="401"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7"/>
        </w:numPr>
        <w:pStyle w:val="Compact"/>
      </w:pPr>
      <w:r>
        <w:t xml:space="preserve">Document the attributes within Section 7.1.4 of their CP or CPS, along with the applicable validation practices.</w:t>
      </w:r>
    </w:p>
    <w:p>
      <w:pPr>
        <w:numPr>
          <w:ilvl w:val="0"/>
          <w:numId w:val="1097"/>
        </w:numPr>
        <w:pStyle w:val="Compact"/>
      </w:pPr>
      <w:r>
        <w:t xml:space="preserve">Ensure that the contents contain information that has been verified by the CA, independent of the Applicant.</w:t>
      </w:r>
    </w:p>
    <w:bookmarkEnd w:id="401"/>
    <w:bookmarkEnd w:id="402"/>
    <w:bookmarkStart w:id="403" w:name="Xb679318b5159669ccef024bee2ed8b9b757084d"/>
    <w:p>
      <w:pPr>
        <w:pStyle w:val="Heading3"/>
      </w:pPr>
      <w:r>
        <w:t xml:space="preserve">7.1.5 Name constraints</w:t>
      </w:r>
    </w:p>
    <w:bookmarkEnd w:id="403"/>
    <w:bookmarkStart w:id="405" w:name="Xc8d3ffc41162c976c376ed548cd0fe263da63e7"/>
    <w:p>
      <w:pPr>
        <w:pStyle w:val="Heading3"/>
      </w:pPr>
      <w:r>
        <w:t xml:space="preserve">7.1.6 Certificate policy object identifier</w:t>
      </w:r>
    </w:p>
    <w:bookmarkStart w:id="404"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404"/>
    <w:bookmarkEnd w:id="405"/>
    <w:bookmarkStart w:id="406" w:name="Xed9e7834e6ffbd250e01c735c982e66ea9861ae"/>
    <w:p>
      <w:pPr>
        <w:pStyle w:val="Heading3"/>
      </w:pPr>
      <w:r>
        <w:t xml:space="preserve">7.1.7 Usage of Policy Constraints extension</w:t>
      </w:r>
    </w:p>
    <w:bookmarkEnd w:id="406"/>
    <w:bookmarkStart w:id="407" w:name="Xb75aeb95e41b160b3b406a7bf538931f2032f39"/>
    <w:p>
      <w:pPr>
        <w:pStyle w:val="Heading3"/>
      </w:pPr>
      <w:r>
        <w:t xml:space="preserve">7.1.8 Policy qualifiers syntax and semantics</w:t>
      </w:r>
    </w:p>
    <w:bookmarkEnd w:id="407"/>
    <w:bookmarkStart w:id="408" w:name="X7e1386d320ff9b93177aebb64539fc5dd8f35e6"/>
    <w:p>
      <w:pPr>
        <w:pStyle w:val="Heading3"/>
      </w:pPr>
      <w:r>
        <w:t xml:space="preserve">7.1.9 Processing semantics for the critical Certificate Policies extension</w:t>
      </w:r>
    </w:p>
    <w:bookmarkEnd w:id="408"/>
    <w:bookmarkEnd w:id="409"/>
    <w:bookmarkStart w:id="413"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84">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5">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10" w:name="X2c7758d2e300cbeb8e6063b008586dacac9f358"/>
    <w:p>
      <w:pPr>
        <w:pStyle w:val="Heading3"/>
      </w:pPr>
      <w:r>
        <w:t xml:space="preserve">7.2.1 Version number(s)</w:t>
      </w:r>
    </w:p>
    <w:p>
      <w:pPr>
        <w:pStyle w:val="FirstParagraph"/>
      </w:pPr>
      <w:r>
        <w:t xml:space="preserve">Certificate Revocation Lists MUST be of type X.509 v2.</w:t>
      </w:r>
    </w:p>
    <w:bookmarkEnd w:id="410"/>
    <w:bookmarkStart w:id="412"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11"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8"/>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8"/>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8"/>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11"/>
    <w:bookmarkEnd w:id="412"/>
    <w:bookmarkEnd w:id="413"/>
    <w:bookmarkStart w:id="416"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14" w:name="Xc8a24ea14e8ad5ea4873a37aeff4628ce67cbd7"/>
    <w:p>
      <w:pPr>
        <w:pStyle w:val="Heading3"/>
      </w:pPr>
      <w:r>
        <w:t xml:space="preserve">7.3.1 Version number(s)</w:t>
      </w:r>
    </w:p>
    <w:bookmarkEnd w:id="414"/>
    <w:bookmarkStart w:id="415"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15"/>
    <w:bookmarkEnd w:id="416"/>
    <w:bookmarkEnd w:id="417"/>
    <w:bookmarkStart w:id="425"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9"/>
        </w:numPr>
        <w:pStyle w:val="Compact"/>
      </w:pPr>
      <w:r>
        <w:t xml:space="preserve">Comply with these Requirements;</w:t>
      </w:r>
    </w:p>
    <w:p>
      <w:pPr>
        <w:numPr>
          <w:ilvl w:val="0"/>
          <w:numId w:val="1099"/>
        </w:numPr>
        <w:pStyle w:val="Compact"/>
      </w:pPr>
      <w:r>
        <w:t xml:space="preserve">Comply with the audit requirements set forth in this section; and</w:t>
      </w:r>
    </w:p>
    <w:p>
      <w:pPr>
        <w:numPr>
          <w:ilvl w:val="0"/>
          <w:numId w:val="1099"/>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8"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8"/>
    <w:bookmarkStart w:id="419"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100"/>
        </w:numPr>
        <w:pStyle w:val="Compact"/>
      </w:pPr>
      <w:r>
        <w:t xml:space="preserve">Independence from the subject of the audit;</w:t>
      </w:r>
    </w:p>
    <w:p>
      <w:pPr>
        <w:numPr>
          <w:ilvl w:val="0"/>
          <w:numId w:val="1100"/>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100"/>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100"/>
        </w:numPr>
        <w:pStyle w:val="Compact"/>
      </w:pPr>
      <w:r>
        <w:t xml:space="preserve">(For audits conducted in accordance with any one of the ETSI standards) accredited in accordance with ISO 17065 applying the requirements specified in ETSI EN 319 403;</w:t>
      </w:r>
    </w:p>
    <w:p>
      <w:pPr>
        <w:numPr>
          <w:ilvl w:val="0"/>
          <w:numId w:val="1100"/>
        </w:numPr>
        <w:pStyle w:val="Compact"/>
      </w:pPr>
      <w:r>
        <w:t xml:space="preserve">(For audits conducted in accordance with the WebTrust standard) licensed by WebTrust;</w:t>
      </w:r>
    </w:p>
    <w:p>
      <w:pPr>
        <w:numPr>
          <w:ilvl w:val="0"/>
          <w:numId w:val="1100"/>
        </w:numPr>
        <w:pStyle w:val="Compact"/>
      </w:pPr>
      <w:r>
        <w:t xml:space="preserve">Bound by law, government regulation, or professional code of ethics; and</w:t>
      </w:r>
    </w:p>
    <w:p>
      <w:pPr>
        <w:numPr>
          <w:ilvl w:val="0"/>
          <w:numId w:val="1100"/>
        </w:numPr>
        <w:pStyle w:val="Compact"/>
      </w:pPr>
      <w:r>
        <w:t xml:space="preserve">Except in the case of an Internal Government Auditing Agency, maintains Professional Liability/Errors &amp; Omissions insurance with policy limits of at least one million US dollars in coverage</w:t>
      </w:r>
    </w:p>
    <w:bookmarkEnd w:id="419"/>
    <w:bookmarkStart w:id="420" w:name="Xb2895b2fcf8cd8991a2fa3ac2a5191d6feaaf90"/>
    <w:p>
      <w:pPr>
        <w:pStyle w:val="Heading2"/>
      </w:pPr>
      <w:r>
        <w:t xml:space="preserve">8.3 Assessor’s relationship to assessed entity</w:t>
      </w:r>
    </w:p>
    <w:bookmarkEnd w:id="420"/>
    <w:bookmarkStart w:id="421"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101"/>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101"/>
        </w:numPr>
        <w:pStyle w:val="Compact"/>
      </w:pPr>
      <w:r>
        <w:t xml:space="preserve">ETSI EN 319 411-1 v1.2.2, which includes normative references to ETSI EN 319 401 (the latest version of the referenced ETSI documents should be applied); or</w:t>
      </w:r>
    </w:p>
    <w:p>
      <w:pPr>
        <w:numPr>
          <w:ilvl w:val="0"/>
          <w:numId w:val="1101"/>
        </w:numPr>
        <w:pStyle w:val="Compact"/>
      </w:pPr>
      <w:r>
        <w:t xml:space="preserve">If a Government CA is required by its Certificate Policy to use a different internal audit scheme, it MAY use such scheme provided that the audit either</w:t>
      </w:r>
    </w:p>
    <w:p>
      <w:pPr>
        <w:numPr>
          <w:ilvl w:val="1"/>
          <w:numId w:val="1102"/>
        </w:numPr>
        <w:pStyle w:val="Compact"/>
      </w:pPr>
      <w:r>
        <w:t xml:space="preserve">encompasses all requirements of one of the above schemes or</w:t>
      </w:r>
    </w:p>
    <w:p>
      <w:pPr>
        <w:numPr>
          <w:ilvl w:val="1"/>
          <w:numId w:val="1102"/>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21"/>
    <w:bookmarkStart w:id="422" w:name="Xb77e0fc54416a91f5670213c9623748359fe7fc"/>
    <w:p>
      <w:pPr>
        <w:pStyle w:val="Heading2"/>
      </w:pPr>
      <w:r>
        <w:t xml:space="preserve">8.5 Actions taken as a result of deficiency</w:t>
      </w:r>
    </w:p>
    <w:bookmarkEnd w:id="422"/>
    <w:bookmarkStart w:id="423"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103"/>
        </w:numPr>
        <w:pStyle w:val="Compact"/>
      </w:pPr>
      <w:r>
        <w:t xml:space="preserve">name of the organization being audited;</w:t>
      </w:r>
    </w:p>
    <w:p>
      <w:pPr>
        <w:numPr>
          <w:ilvl w:val="0"/>
          <w:numId w:val="1103"/>
        </w:numPr>
        <w:pStyle w:val="Compact"/>
      </w:pPr>
      <w:r>
        <w:t xml:space="preserve">name and address of the organization performing the audit;</w:t>
      </w:r>
    </w:p>
    <w:p>
      <w:pPr>
        <w:numPr>
          <w:ilvl w:val="0"/>
          <w:numId w:val="1103"/>
        </w:numPr>
        <w:pStyle w:val="Compact"/>
      </w:pPr>
      <w:r>
        <w:t xml:space="preserve">the SHA-256 fingerprint of all Roots and Subordinate CA Certificates, including Cross-Certified Subordinate CA Certificates, that were in-scope of the audit;</w:t>
      </w:r>
    </w:p>
    <w:p>
      <w:pPr>
        <w:numPr>
          <w:ilvl w:val="0"/>
          <w:numId w:val="1103"/>
        </w:numPr>
        <w:pStyle w:val="Compact"/>
      </w:pPr>
      <w:r>
        <w:t xml:space="preserve">audit criteria, with version number(s), that were used to audit each of the certificates (and associated keys);</w:t>
      </w:r>
    </w:p>
    <w:p>
      <w:pPr>
        <w:numPr>
          <w:ilvl w:val="0"/>
          <w:numId w:val="1103"/>
        </w:numPr>
        <w:pStyle w:val="Compact"/>
      </w:pPr>
      <w:r>
        <w:t xml:space="preserve">a list of the CA policy documents, with version numbers, referenced during the audit;</w:t>
      </w:r>
    </w:p>
    <w:p>
      <w:pPr>
        <w:numPr>
          <w:ilvl w:val="0"/>
          <w:numId w:val="1103"/>
        </w:numPr>
        <w:pStyle w:val="Compact"/>
      </w:pPr>
      <w:r>
        <w:t xml:space="preserve">whether the audit assessed a period of time or a point in time;</w:t>
      </w:r>
    </w:p>
    <w:p>
      <w:pPr>
        <w:numPr>
          <w:ilvl w:val="0"/>
          <w:numId w:val="1103"/>
        </w:numPr>
        <w:pStyle w:val="Compact"/>
      </w:pPr>
      <w:r>
        <w:t xml:space="preserve">the start date and end date of the Audit Period, for those that cover a period of time;</w:t>
      </w:r>
    </w:p>
    <w:p>
      <w:pPr>
        <w:numPr>
          <w:ilvl w:val="0"/>
          <w:numId w:val="1103"/>
        </w:numPr>
        <w:pStyle w:val="Compact"/>
      </w:pPr>
      <w:r>
        <w:t xml:space="preserve">the point in time date, for those that are for a point in time;</w:t>
      </w:r>
    </w:p>
    <w:p>
      <w:pPr>
        <w:numPr>
          <w:ilvl w:val="0"/>
          <w:numId w:val="1103"/>
        </w:numPr>
        <w:pStyle w:val="Compact"/>
      </w:pPr>
      <w:r>
        <w:t xml:space="preserve">the date the report was issued, which will necessarily be after the end date or point in time date; and</w:t>
      </w:r>
    </w:p>
    <w:p>
      <w:pPr>
        <w:numPr>
          <w:ilvl w:val="0"/>
          <w:numId w:val="1103"/>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103"/>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23"/>
    <w:bookmarkStart w:id="424"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pPr>
        <w:pStyle w:val="BodyText"/>
      </w:pPr>
      <w:r>
        <w:t xml:space="preserve">Effective 2025-03-15, the CA SHOULD use a Linting process to verify the technical accuracy of Certificates within the selected sample set independently of previous linting performed on the same Certificates.</w:t>
      </w:r>
    </w:p>
    <w:p>
      <w:pPr>
        <w:pStyle w:val="BodyText"/>
      </w:pPr>
      <w:r>
        <w:t xml:space="preserve">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24"/>
    <w:bookmarkEnd w:id="425"/>
    <w:bookmarkStart w:id="478" w:name="X1b3172719035076246fa692266738f120f21d18"/>
    <w:p>
      <w:pPr>
        <w:pStyle w:val="Heading1"/>
      </w:pPr>
      <w:r>
        <w:t xml:space="preserve">9. OTHER BUSINESS AND LEGAL MATTERS</w:t>
      </w:r>
    </w:p>
    <w:bookmarkStart w:id="431" w:name="X9e1e4e739dcc18b0dcffb6221f807a2a284ccfa"/>
    <w:p>
      <w:pPr>
        <w:pStyle w:val="Heading2"/>
      </w:pPr>
      <w:r>
        <w:t xml:space="preserve">9.1 Fees</w:t>
      </w:r>
    </w:p>
    <w:bookmarkStart w:id="426" w:name="X1b67225cf53cf32cb2b90327c6e8269ed5fa5eb"/>
    <w:p>
      <w:pPr>
        <w:pStyle w:val="Heading3"/>
      </w:pPr>
      <w:r>
        <w:t xml:space="preserve">9.1.1 Certificate issuance or renewal fees</w:t>
      </w:r>
    </w:p>
    <w:bookmarkEnd w:id="426"/>
    <w:bookmarkStart w:id="427" w:name="X4b08da61ddb2fa9217aacbd0b59bc2d64cbec64"/>
    <w:p>
      <w:pPr>
        <w:pStyle w:val="Heading3"/>
      </w:pPr>
      <w:r>
        <w:t xml:space="preserve">9.1.2 Certificate access fees</w:t>
      </w:r>
    </w:p>
    <w:bookmarkEnd w:id="427"/>
    <w:bookmarkStart w:id="428" w:name="X7f7c3bc1e0cb2d8ff962bdc889bfac1a0265de9"/>
    <w:p>
      <w:pPr>
        <w:pStyle w:val="Heading3"/>
      </w:pPr>
      <w:r>
        <w:t xml:space="preserve">9.1.3 Revocation or status information access fees</w:t>
      </w:r>
    </w:p>
    <w:bookmarkEnd w:id="428"/>
    <w:bookmarkStart w:id="429" w:name="Xb06699e15acbdd0fda5f839e0607957b62115d0"/>
    <w:p>
      <w:pPr>
        <w:pStyle w:val="Heading3"/>
      </w:pPr>
      <w:r>
        <w:t xml:space="preserve">9.1.4 Fees for other services</w:t>
      </w:r>
    </w:p>
    <w:bookmarkEnd w:id="429"/>
    <w:bookmarkStart w:id="430" w:name="X15d40b3d70ec68b057607e6e2568bca850e8fd6"/>
    <w:p>
      <w:pPr>
        <w:pStyle w:val="Heading3"/>
      </w:pPr>
      <w:r>
        <w:t xml:space="preserve">9.1.5 Refund policy</w:t>
      </w:r>
    </w:p>
    <w:bookmarkEnd w:id="430"/>
    <w:bookmarkEnd w:id="431"/>
    <w:bookmarkStart w:id="435" w:name="Xd952917766949dfcf7962abfdd3b24b9b93549e"/>
    <w:p>
      <w:pPr>
        <w:pStyle w:val="Heading2"/>
      </w:pPr>
      <w:r>
        <w:t xml:space="preserve">9.2 Financial responsibility</w:t>
      </w:r>
    </w:p>
    <w:bookmarkStart w:id="432" w:name="Xab3b556a04395b5d46f4c82fd05370dfac94716"/>
    <w:p>
      <w:pPr>
        <w:pStyle w:val="Heading3"/>
      </w:pPr>
      <w:r>
        <w:t xml:space="preserve">9.2.1 Insurance coverage</w:t>
      </w:r>
    </w:p>
    <w:bookmarkEnd w:id="432"/>
    <w:bookmarkStart w:id="433" w:name="X801c484485ff69250845233a4b0ac7f5a10bfa5"/>
    <w:p>
      <w:pPr>
        <w:pStyle w:val="Heading3"/>
      </w:pPr>
      <w:r>
        <w:t xml:space="preserve">9.2.2 Other assets</w:t>
      </w:r>
    </w:p>
    <w:bookmarkEnd w:id="433"/>
    <w:bookmarkStart w:id="434" w:name="Xdcd133e846f0e16a5a0eeaddc1ef654447c1abf"/>
    <w:p>
      <w:pPr>
        <w:pStyle w:val="Heading3"/>
      </w:pPr>
      <w:r>
        <w:t xml:space="preserve">9.2.3 Insurance or warranty coverage for end-entities</w:t>
      </w:r>
    </w:p>
    <w:bookmarkEnd w:id="434"/>
    <w:bookmarkEnd w:id="435"/>
    <w:bookmarkStart w:id="439" w:name="Xe5c485ef49f267790086c69012571d874897c2b"/>
    <w:p>
      <w:pPr>
        <w:pStyle w:val="Heading2"/>
      </w:pPr>
      <w:r>
        <w:t xml:space="preserve">9.3 Confidentiality of business information</w:t>
      </w:r>
    </w:p>
    <w:bookmarkStart w:id="436" w:name="Xdeb9db4cd332267afa68e6003f72db0f2eb9855"/>
    <w:p>
      <w:pPr>
        <w:pStyle w:val="Heading3"/>
      </w:pPr>
      <w:r>
        <w:t xml:space="preserve">9.3.1 Scope of confidential information</w:t>
      </w:r>
    </w:p>
    <w:bookmarkEnd w:id="436"/>
    <w:bookmarkStart w:id="437" w:name="Xc76890e753e41d81fc0bd7b62299ea853528a39"/>
    <w:p>
      <w:pPr>
        <w:pStyle w:val="Heading3"/>
      </w:pPr>
      <w:r>
        <w:t xml:space="preserve">9.3.2 Information not within the scope of confidential information</w:t>
      </w:r>
    </w:p>
    <w:bookmarkEnd w:id="437"/>
    <w:bookmarkStart w:id="438" w:name="X498af9c046d5890b35db79801b036529dab1550"/>
    <w:p>
      <w:pPr>
        <w:pStyle w:val="Heading3"/>
      </w:pPr>
      <w:r>
        <w:t xml:space="preserve">9.3.3 Responsibility to protect confidential information</w:t>
      </w:r>
    </w:p>
    <w:bookmarkEnd w:id="438"/>
    <w:bookmarkEnd w:id="439"/>
    <w:bookmarkStart w:id="447" w:name="Xad2e9d9fda6d9e9ceca691155dcaa52aa109057"/>
    <w:p>
      <w:pPr>
        <w:pStyle w:val="Heading2"/>
      </w:pPr>
      <w:r>
        <w:t xml:space="preserve">9.4 Privacy of personal information</w:t>
      </w:r>
    </w:p>
    <w:bookmarkStart w:id="440" w:name="X6c26da41eb0326e4f3fb045dfb289f7b51c7861"/>
    <w:p>
      <w:pPr>
        <w:pStyle w:val="Heading3"/>
      </w:pPr>
      <w:r>
        <w:t xml:space="preserve">9.4.1 Privacy plan</w:t>
      </w:r>
    </w:p>
    <w:bookmarkEnd w:id="440"/>
    <w:bookmarkStart w:id="441" w:name="Xadbbe12640a69022222360f63066c0e94eb9aa3"/>
    <w:p>
      <w:pPr>
        <w:pStyle w:val="Heading3"/>
      </w:pPr>
      <w:r>
        <w:t xml:space="preserve">9.4.2 Information treated as private</w:t>
      </w:r>
    </w:p>
    <w:bookmarkEnd w:id="441"/>
    <w:bookmarkStart w:id="442" w:name="X10286c0bb7599b2673f1511c5eba30f104208ef"/>
    <w:p>
      <w:pPr>
        <w:pStyle w:val="Heading3"/>
      </w:pPr>
      <w:r>
        <w:t xml:space="preserve">9.4.3 Information not deemed private</w:t>
      </w:r>
    </w:p>
    <w:bookmarkEnd w:id="442"/>
    <w:bookmarkStart w:id="443" w:name="Xb386d8380baab7b744b988974512573241e56bf"/>
    <w:p>
      <w:pPr>
        <w:pStyle w:val="Heading3"/>
      </w:pPr>
      <w:r>
        <w:t xml:space="preserve">9.4.4 Responsibility to protect private information</w:t>
      </w:r>
    </w:p>
    <w:bookmarkEnd w:id="443"/>
    <w:bookmarkStart w:id="444" w:name="X2405297b88dc49ee58b1ecaed983d326a4a5201"/>
    <w:p>
      <w:pPr>
        <w:pStyle w:val="Heading3"/>
      </w:pPr>
      <w:r>
        <w:t xml:space="preserve">9.4.5 Notice and consent to use private information</w:t>
      </w:r>
    </w:p>
    <w:bookmarkEnd w:id="444"/>
    <w:bookmarkStart w:id="445" w:name="X321bc53c16e37210ae137a90c77c1abab43ca96"/>
    <w:p>
      <w:pPr>
        <w:pStyle w:val="Heading3"/>
      </w:pPr>
      <w:r>
        <w:t xml:space="preserve">9.4.6 Disclosure pursuant to judicial or administrative process</w:t>
      </w:r>
    </w:p>
    <w:bookmarkEnd w:id="445"/>
    <w:bookmarkStart w:id="446" w:name="Xa230d593656a1e51f036328990e12f114fb8201"/>
    <w:p>
      <w:pPr>
        <w:pStyle w:val="Heading3"/>
      </w:pPr>
      <w:r>
        <w:t xml:space="preserve">9.4.7 Other information disclosure circumstances</w:t>
      </w:r>
    </w:p>
    <w:bookmarkEnd w:id="446"/>
    <w:bookmarkEnd w:id="447"/>
    <w:bookmarkStart w:id="448" w:name="X64cd535714d6f2f932d7dafef0fe5e7bfe8aab1"/>
    <w:p>
      <w:pPr>
        <w:pStyle w:val="Heading2"/>
      </w:pPr>
      <w:r>
        <w:t xml:space="preserve">9.5 Intellectual property rights</w:t>
      </w:r>
    </w:p>
    <w:bookmarkEnd w:id="448"/>
    <w:bookmarkStart w:id="454" w:name="X42df1952200f8b3b6c421fc9bd0ada64200850e"/>
    <w:p>
      <w:pPr>
        <w:pStyle w:val="Heading2"/>
      </w:pPr>
      <w:r>
        <w:t xml:space="preserve">9.6 Representations and warranties</w:t>
      </w:r>
    </w:p>
    <w:bookmarkStart w:id="449"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104"/>
        </w:numPr>
        <w:pStyle w:val="Compact"/>
      </w:pPr>
      <w:r>
        <w:t xml:space="preserve">The Subscriber that is a party to the Subscriber Agreement or Terms of Use for the Certificate;</w:t>
      </w:r>
    </w:p>
    <w:p>
      <w:pPr>
        <w:numPr>
          <w:ilvl w:val="0"/>
          <w:numId w:val="1104"/>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104"/>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105"/>
        </w:numPr>
        <w:pStyle w:val="Compact"/>
      </w:pPr>
      <w:r>
        <w:rPr>
          <w:bCs/>
          <w:b/>
        </w:rPr>
        <w:t xml:space="preserve">Right to Use Domain Name or IP Address</w:t>
      </w:r>
      <w:r>
        <w:t xml:space="preserve">: That, at the time of issuance, the CA</w:t>
      </w:r>
    </w:p>
    <w:p>
      <w:pPr>
        <w:numPr>
          <w:ilvl w:val="1"/>
          <w:numId w:val="1106"/>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106"/>
        </w:numPr>
        <w:pStyle w:val="Compact"/>
      </w:pPr>
      <w:r>
        <w:t xml:space="preserve">followed the procedure when issuing the Certificate; and</w:t>
      </w:r>
    </w:p>
    <w:p>
      <w:pPr>
        <w:numPr>
          <w:ilvl w:val="1"/>
          <w:numId w:val="1106"/>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Authorization for Certificate</w:t>
      </w:r>
      <w:r>
        <w:t xml:space="preserve">: That, at the time of issuance, the CA</w:t>
      </w:r>
    </w:p>
    <w:p>
      <w:pPr>
        <w:numPr>
          <w:ilvl w:val="1"/>
          <w:numId w:val="1107"/>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07"/>
        </w:numPr>
        <w:pStyle w:val="Compact"/>
      </w:pPr>
      <w:r>
        <w:t xml:space="preserve">followed the procedure when issuing the Certificate; and</w:t>
      </w:r>
    </w:p>
    <w:p>
      <w:pPr>
        <w:numPr>
          <w:ilvl w:val="1"/>
          <w:numId w:val="1107"/>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Accuracy of Information</w:t>
      </w:r>
      <w:r>
        <w:t xml:space="preserve">: That, at the time of issuance, the CA</w:t>
      </w:r>
    </w:p>
    <w:p>
      <w:pPr>
        <w:numPr>
          <w:ilvl w:val="1"/>
          <w:numId w:val="1108"/>
        </w:numPr>
        <w:pStyle w:val="Compact"/>
      </w:pPr>
      <w:r>
        <w:t xml:space="preserve">implemented a procedure for verifying the accuracy of all of the information contained in the Certificate;</w:t>
      </w:r>
    </w:p>
    <w:p>
      <w:pPr>
        <w:numPr>
          <w:ilvl w:val="1"/>
          <w:numId w:val="1108"/>
        </w:numPr>
        <w:pStyle w:val="Compact"/>
      </w:pPr>
      <w:r>
        <w:t xml:space="preserve">followed the procedure when issuing the Certificate; and</w:t>
      </w:r>
    </w:p>
    <w:p>
      <w:pPr>
        <w:numPr>
          <w:ilvl w:val="1"/>
          <w:numId w:val="1108"/>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Identity of Applicant</w:t>
      </w:r>
      <w:r>
        <w:t xml:space="preserve">: That, if the Certificate contains Subject Identity Information, the CA</w:t>
      </w:r>
    </w:p>
    <w:p>
      <w:pPr>
        <w:numPr>
          <w:ilvl w:val="1"/>
          <w:numId w:val="1109"/>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9"/>
        </w:numPr>
        <w:pStyle w:val="Compact"/>
      </w:pPr>
      <w:r>
        <w:t xml:space="preserve">followed the procedure when issuing the Certificate; and</w:t>
      </w:r>
    </w:p>
    <w:p>
      <w:pPr>
        <w:numPr>
          <w:ilvl w:val="1"/>
          <w:numId w:val="1109"/>
        </w:numPr>
        <w:pStyle w:val="Compact"/>
      </w:pPr>
      <w:r>
        <w:t xml:space="preserve">accurately described the procedure in the CA’s Certificate Policy and/or Certification Practice Statement;</w:t>
      </w:r>
    </w:p>
    <w:p>
      <w:pPr>
        <w:numPr>
          <w:ilvl w:val="0"/>
          <w:numId w:val="1105"/>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105"/>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105"/>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9"/>
    <w:bookmarkStart w:id="450" w:name="Xebe04674c865104894aa0b023e720efe3a82b5e"/>
    <w:p>
      <w:pPr>
        <w:pStyle w:val="Heading3"/>
      </w:pPr>
      <w:r>
        <w:t xml:space="preserve">9.6.2 RA representations and warranties</w:t>
      </w:r>
    </w:p>
    <w:p>
      <w:pPr>
        <w:pStyle w:val="FirstParagraph"/>
      </w:pPr>
      <w:r>
        <w:t xml:space="preserve">No stipulation.</w:t>
      </w:r>
    </w:p>
    <w:bookmarkEnd w:id="450"/>
    <w:bookmarkStart w:id="451"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10"/>
        </w:numPr>
        <w:pStyle w:val="Compact"/>
      </w:pPr>
      <w:r>
        <w:t xml:space="preserve">The Applicant’s agreement to the Subscriber Agreement with the CA, or</w:t>
      </w:r>
    </w:p>
    <w:p>
      <w:pPr>
        <w:numPr>
          <w:ilvl w:val="0"/>
          <w:numId w:val="1110"/>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11"/>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11"/>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11"/>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11"/>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11"/>
        </w:numPr>
        <w:pStyle w:val="Compact"/>
      </w:pPr>
      <w:r>
        <w:rPr>
          <w:bCs/>
          <w:b/>
        </w:rPr>
        <w:t xml:space="preserve">Reporting and Revocation</w:t>
      </w:r>
      <w:r>
        <w:t xml:space="preserve">: An obligation and warranty to:</w:t>
      </w:r>
    </w:p>
    <w:p>
      <w:pPr>
        <w:numPr>
          <w:ilvl w:val="1"/>
          <w:numId w:val="1112"/>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12"/>
        </w:numPr>
        <w:pStyle w:val="Compact"/>
      </w:pPr>
      <w:r>
        <w:t xml:space="preserve">promptly request revocation of the Certificate, and cease using it, if any information in the Certificate is or becomes incorrect or inaccurate;</w:t>
      </w:r>
    </w:p>
    <w:p>
      <w:pPr>
        <w:numPr>
          <w:ilvl w:val="0"/>
          <w:numId w:val="1111"/>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11"/>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11"/>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51"/>
    <w:bookmarkStart w:id="452" w:name="Xce77c7c8575aedca19a4bcf41e786564708694d"/>
    <w:p>
      <w:pPr>
        <w:pStyle w:val="Heading3"/>
      </w:pPr>
      <w:r>
        <w:t xml:space="preserve">9.6.4 Relying party representations and warranties</w:t>
      </w:r>
    </w:p>
    <w:bookmarkEnd w:id="452"/>
    <w:bookmarkStart w:id="453" w:name="X5ad64ad5eca0698d8b9ce9c2a180877e13a0852"/>
    <w:p>
      <w:pPr>
        <w:pStyle w:val="Heading3"/>
      </w:pPr>
      <w:r>
        <w:t xml:space="preserve">9.6.5 Representations and warranties of other participants</w:t>
      </w:r>
    </w:p>
    <w:bookmarkEnd w:id="453"/>
    <w:bookmarkEnd w:id="454"/>
    <w:bookmarkStart w:id="455" w:name="X3e394d97fc62ae682b76b8a401598ecd71e7381"/>
    <w:p>
      <w:pPr>
        <w:pStyle w:val="Heading2"/>
      </w:pPr>
      <w:r>
        <w:t xml:space="preserve">9.7 Disclaimers of warranties</w:t>
      </w:r>
    </w:p>
    <w:bookmarkEnd w:id="455"/>
    <w:bookmarkStart w:id="456"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56"/>
    <w:bookmarkStart w:id="457"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7"/>
    <w:bookmarkStart w:id="461" w:name="X7ba9a97174471fc033509b3b35a3e9fc60a339d"/>
    <w:p>
      <w:pPr>
        <w:pStyle w:val="Heading2"/>
      </w:pPr>
      <w:r>
        <w:t xml:space="preserve">9.10 Term and termination</w:t>
      </w:r>
    </w:p>
    <w:bookmarkStart w:id="458" w:name="X4d3f6870a86df28a1f6e68dd2c72de3b3afbdfb"/>
    <w:p>
      <w:pPr>
        <w:pStyle w:val="Heading3"/>
      </w:pPr>
      <w:r>
        <w:t xml:space="preserve">9.10.1 Term</w:t>
      </w:r>
    </w:p>
    <w:bookmarkEnd w:id="458"/>
    <w:bookmarkStart w:id="459" w:name="X4ffa3f8a67459fa4b33f6bfae2cd17cc142ecf8"/>
    <w:p>
      <w:pPr>
        <w:pStyle w:val="Heading3"/>
      </w:pPr>
      <w:r>
        <w:t xml:space="preserve">9.10.2 Termination</w:t>
      </w:r>
    </w:p>
    <w:bookmarkEnd w:id="459"/>
    <w:bookmarkStart w:id="460" w:name="Xc1785ffdcfdde1261d0f7f398f8dd35cbc98dfe"/>
    <w:p>
      <w:pPr>
        <w:pStyle w:val="Heading3"/>
      </w:pPr>
      <w:r>
        <w:t xml:space="preserve">9.10.3 Effect of termination and survival</w:t>
      </w:r>
    </w:p>
    <w:bookmarkEnd w:id="460"/>
    <w:bookmarkEnd w:id="461"/>
    <w:bookmarkStart w:id="462" w:name="Xfc373925ebb137a487c6a7b9d2dd630a4f0b256"/>
    <w:p>
      <w:pPr>
        <w:pStyle w:val="Heading2"/>
      </w:pPr>
      <w:r>
        <w:t xml:space="preserve">9.11 Individual notices and communications with participants</w:t>
      </w:r>
    </w:p>
    <w:bookmarkEnd w:id="462"/>
    <w:bookmarkStart w:id="466" w:name="Xdf1273fb7beaede1c848432870f51b5a8bc8737"/>
    <w:p>
      <w:pPr>
        <w:pStyle w:val="Heading2"/>
      </w:pPr>
      <w:r>
        <w:t xml:space="preserve">9.12 Amendments</w:t>
      </w:r>
    </w:p>
    <w:bookmarkStart w:id="463" w:name="Xc613974beff4bd0b19e37bba61b2ec88172216b"/>
    <w:p>
      <w:pPr>
        <w:pStyle w:val="Heading3"/>
      </w:pPr>
      <w:r>
        <w:t xml:space="preserve">9.12.1 Procedure for amendment</w:t>
      </w:r>
    </w:p>
    <w:bookmarkEnd w:id="463"/>
    <w:bookmarkStart w:id="464" w:name="X0c84bdf4e5d4f55a3ed3383527421a55f2ccc5f"/>
    <w:p>
      <w:pPr>
        <w:pStyle w:val="Heading3"/>
      </w:pPr>
      <w:r>
        <w:t xml:space="preserve">9.12.2 Notification mechanism and period</w:t>
      </w:r>
    </w:p>
    <w:bookmarkEnd w:id="464"/>
    <w:bookmarkStart w:id="465" w:name="X44dd3a0f1969a45e2de4169497c54d6e22b8d4e"/>
    <w:p>
      <w:pPr>
        <w:pStyle w:val="Heading3"/>
      </w:pPr>
      <w:r>
        <w:t xml:space="preserve">9.12.3 Circumstances under which OID must be changed</w:t>
      </w:r>
    </w:p>
    <w:bookmarkEnd w:id="465"/>
    <w:bookmarkEnd w:id="466"/>
    <w:bookmarkStart w:id="467" w:name="X532d40f2ecaf6ea44a2ec5da010bc191ee5d16d"/>
    <w:p>
      <w:pPr>
        <w:pStyle w:val="Heading2"/>
      </w:pPr>
      <w:r>
        <w:t xml:space="preserve">9.13 Dispute resolution provisions</w:t>
      </w:r>
    </w:p>
    <w:bookmarkEnd w:id="467"/>
    <w:bookmarkStart w:id="468" w:name="X6f36ee9a99eb8b9385d5bdedb679bae78eb2a91"/>
    <w:p>
      <w:pPr>
        <w:pStyle w:val="Heading2"/>
      </w:pPr>
      <w:r>
        <w:t xml:space="preserve">9.14 Governing law</w:t>
      </w:r>
    </w:p>
    <w:bookmarkEnd w:id="468"/>
    <w:bookmarkStart w:id="469"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9"/>
    <w:bookmarkStart w:id="476" w:name="X812605d8f841bdf71495d8993bcda18fd152bd8"/>
    <w:p>
      <w:pPr>
        <w:pStyle w:val="Heading2"/>
      </w:pPr>
      <w:r>
        <w:t xml:space="preserve">9.16 Miscellaneous provisions</w:t>
      </w:r>
    </w:p>
    <w:bookmarkStart w:id="470" w:name="X617276fa3572012c7efe11ea4cd2c7983c855d4"/>
    <w:p>
      <w:pPr>
        <w:pStyle w:val="Heading3"/>
      </w:pPr>
      <w:r>
        <w:t xml:space="preserve">9.16.1 Entire agreement</w:t>
      </w:r>
    </w:p>
    <w:bookmarkEnd w:id="470"/>
    <w:bookmarkStart w:id="471" w:name="X2ae3b321bcbf4efff46a5a600da342d57a37616"/>
    <w:p>
      <w:pPr>
        <w:pStyle w:val="Heading3"/>
      </w:pPr>
      <w:r>
        <w:t xml:space="preserve">9.16.2 Assignment</w:t>
      </w:r>
    </w:p>
    <w:bookmarkEnd w:id="471"/>
    <w:bookmarkStart w:id="473"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72">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73"/>
    <w:bookmarkStart w:id="474" w:name="Xf640df77cf004e0fc87647819c725ff18801b3f"/>
    <w:p>
      <w:pPr>
        <w:pStyle w:val="Heading3"/>
      </w:pPr>
      <w:r>
        <w:t xml:space="preserve">9.16.4 Enforcement (attorneys’ fees and waiver of rights)</w:t>
      </w:r>
    </w:p>
    <w:bookmarkEnd w:id="474"/>
    <w:bookmarkStart w:id="475" w:name="X656ab7b064035247061ac63ec4cdba70d0d7f6c"/>
    <w:p>
      <w:pPr>
        <w:pStyle w:val="Heading3"/>
      </w:pPr>
      <w:r>
        <w:t xml:space="preserve">9.16.5 Force Majeure</w:t>
      </w:r>
    </w:p>
    <w:bookmarkEnd w:id="475"/>
    <w:bookmarkEnd w:id="476"/>
    <w:bookmarkStart w:id="477" w:name="X55acb3accc9964cedc51bbeb2126f44eb9b7820"/>
    <w:p>
      <w:pPr>
        <w:pStyle w:val="Heading2"/>
      </w:pPr>
      <w:r>
        <w:t xml:space="preserve">9.17 Other provisions</w:t>
      </w:r>
    </w:p>
    <w:bookmarkEnd w:id="477"/>
    <w:bookmarkEnd w:id="478"/>
    <w:bookmarkStart w:id="485"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81" w:name="a1-caa-methods"/>
    <w:p>
      <w:pPr>
        <w:pStyle w:val="Heading2"/>
      </w:pPr>
      <w:r>
        <w:t xml:space="preserve">A.1. CAA Methods</w:t>
      </w:r>
    </w:p>
    <w:bookmarkStart w:id="479"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9"/>
    <w:bookmarkStart w:id="480"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80"/>
    <w:bookmarkEnd w:id="481"/>
    <w:bookmarkStart w:id="484" w:name="a2-dns-txt-methods"/>
    <w:p>
      <w:pPr>
        <w:pStyle w:val="Heading2"/>
      </w:pPr>
      <w:r>
        <w:t xml:space="preserve">A.2. DNS TXT Methods</w:t>
      </w:r>
    </w:p>
    <w:bookmarkStart w:id="482"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82"/>
    <w:bookmarkStart w:id="483"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83"/>
    <w:bookmarkEnd w:id="484"/>
    <w:bookmarkEnd w:id="485"/>
    <w:bookmarkStart w:id="487"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13"/>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86">
        <w:r>
          <w:rPr>
            <w:rStyle w:val="Hyperlink"/>
          </w:rPr>
          <w:t xml:space="preserve">https://spec.torproject.org/rend-spec-v3</w:t>
        </w:r>
      </w:hyperlink>
      <w:r>
        <w:t xml:space="preserve">.</w:t>
      </w:r>
    </w:p>
    <w:p>
      <w:pPr>
        <w:numPr>
          <w:ilvl w:val="0"/>
          <w:numId w:val="1113"/>
        </w:numPr>
      </w:pPr>
      <w:r>
        <w:t xml:space="preserve">The CA MUST verify the Applicant’s control over the Onion Domain Name using at least one of the methods listed below:</w:t>
      </w:r>
    </w:p>
    <w:p>
      <w:pPr>
        <w:numPr>
          <w:ilvl w:val="1"/>
          <w:numId w:val="1114"/>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15"/>
        </w:numPr>
        <w:pStyle w:val="Compact"/>
      </w:pPr>
      <w:hyperlink w:anchor="Xc46000129b0d394eceab9eaea84e163722f6ebc">
        <w:r>
          <w:rPr>
            <w:rStyle w:val="Hyperlink"/>
          </w:rPr>
          <w:t xml:space="preserve">Section 3.2.2.4.18 - Agreed-Upon Change to Website v2</w:t>
        </w:r>
      </w:hyperlink>
    </w:p>
    <w:p>
      <w:pPr>
        <w:numPr>
          <w:ilvl w:val="2"/>
          <w:numId w:val="1115"/>
        </w:numPr>
        <w:pStyle w:val="Compact"/>
      </w:pPr>
      <w:hyperlink w:anchor="X3668caebf20c4cdaf2b3d8ef5a761cf401871de">
        <w:r>
          <w:rPr>
            <w:rStyle w:val="Hyperlink"/>
          </w:rPr>
          <w:t xml:space="preserve">Section 3.2.2.4.19 - Agreed-Upon Change to Website - ACME</w:t>
        </w:r>
      </w:hyperlink>
    </w:p>
    <w:p>
      <w:pPr>
        <w:numPr>
          <w:ilvl w:val="2"/>
          <w:numId w:val="1115"/>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14"/>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16"/>
        </w:numPr>
        <w:pStyle w:val="Compact"/>
      </w:pPr>
      <w:r>
        <w:t xml:space="preserve">A caSigningNonce attribute that contains a Random Value that is generated by the CA; and</w:t>
      </w:r>
    </w:p>
    <w:p>
      <w:pPr>
        <w:numPr>
          <w:ilvl w:val="2"/>
          <w:numId w:val="1116"/>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13"/>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7"/>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3">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94">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6">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0">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03">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4">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1">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2">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6">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7">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21">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22">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33">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7">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70">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94">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96">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7">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8">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91a27d85"/>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615f1ed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72" Target="https://cabforum.org/pipermail/public/" TargetMode="External" /><Relationship Type="http://schemas.openxmlformats.org/officeDocument/2006/relationships/hyperlink" Id="rId360" Target="https://datatracker.ietf.org/doc/html/rfc5280" TargetMode="External" /><Relationship Type="http://schemas.openxmlformats.org/officeDocument/2006/relationships/hyperlink" Id="rId359"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6" Target="https://spec.torproject.org/rend-spec-v3" TargetMode="External" /><Relationship Type="http://schemas.openxmlformats.org/officeDocument/2006/relationships/hyperlink" Id="rId352"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4" Target="https://tools.ietf.org/doc/html/rfc5280#section-4.1.2.2" TargetMode="External" /><Relationship Type="http://schemas.openxmlformats.org/officeDocument/2006/relationships/hyperlink" Id="rId351" Target="https://tools.ietf.org/doc/html/rfc6962" TargetMode="External" /><Relationship Type="http://schemas.openxmlformats.org/officeDocument/2006/relationships/hyperlink" Id="rId357" Target="https://tools.ietf.org/doc/html/rfc6962#section-3.1" TargetMode="External" /><Relationship Type="http://schemas.openxmlformats.org/officeDocument/2006/relationships/hyperlink" Id="rId353" Target="https://tools.ietf.org/doc/html/rfc6962#section-3.2" TargetMode="External" /><Relationship Type="http://schemas.openxmlformats.org/officeDocument/2006/relationships/hyperlink" Id="rId395" Target="https://tools.ietf.org/html/rfc4519" TargetMode="External" /><Relationship Type="http://schemas.openxmlformats.org/officeDocument/2006/relationships/hyperlink" Id="rId284" Target="https://tools.ietf.org/html/rfc5280" TargetMode="External" /><Relationship Type="http://schemas.openxmlformats.org/officeDocument/2006/relationships/hyperlink" Id="rId285" Target="https://tools.ietf.org/html/rfc5280#appendix-B" TargetMode="External" /><Relationship Type="http://schemas.openxmlformats.org/officeDocument/2006/relationships/hyperlink" Id="rId372" Target="https://tools.ietf.org/html/rfc5280#section-4.2.1.10" TargetMode="External" /><Relationship Type="http://schemas.openxmlformats.org/officeDocument/2006/relationships/hyperlink" Id="rId295" Target="https://tools.ietf.org/html/rfc5280#section-4.2.1.13" TargetMode="External" /><Relationship Type="http://schemas.openxmlformats.org/officeDocument/2006/relationships/hyperlink" Id="rId379" Target="https://tools.ietf.org/html/rfc5280#section-4.2.1.2" TargetMode="External" /><Relationship Type="http://schemas.openxmlformats.org/officeDocument/2006/relationships/hyperlink" Id="rId337" Target="https://tools.ietf.org/html/rfc5280#section-4.2.1.6" TargetMode="External" /><Relationship Type="http://schemas.openxmlformats.org/officeDocument/2006/relationships/hyperlink" Id="rId391" Target="https://tools.ietf.org/html/rfc5280#section-6" TargetMode="External" /><Relationship Type="http://schemas.openxmlformats.org/officeDocument/2006/relationships/hyperlink" Id="rId392" Target="https://tools.ietf.org/html/rfc5280#section-7.1" TargetMode="External" /><Relationship Type="http://schemas.openxmlformats.org/officeDocument/2006/relationships/hyperlink" Id="rId340" Target="https://tools.ietf.org/html/rfc6960#section-4.2.2.2" TargetMode="External" /><Relationship Type="http://schemas.openxmlformats.org/officeDocument/2006/relationships/hyperlink" Id="rId346" Target="https://tools.ietf.org/html/rfc6960#section-4.2.2.2.1" TargetMode="External" /><Relationship Type="http://schemas.openxmlformats.org/officeDocument/2006/relationships/hyperlink" Id="rId309" Target="https://tools.ietf.org/html/rfc6962#section-3.1" TargetMode="External" /><Relationship Type="http://schemas.openxmlformats.org/officeDocument/2006/relationships/hyperlink" Id="rId310" Target="https://tools.ietf.org/html/rfc6962#section-3.2" TargetMode="External" /><Relationship Type="http://schemas.openxmlformats.org/officeDocument/2006/relationships/hyperlink" Id="rId377"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72" Target="https://cabforum.org/pipermail/public/" TargetMode="External" /><Relationship Type="http://schemas.openxmlformats.org/officeDocument/2006/relationships/hyperlink" Id="rId360" Target="https://datatracker.ietf.org/doc/html/rfc5280" TargetMode="External" /><Relationship Type="http://schemas.openxmlformats.org/officeDocument/2006/relationships/hyperlink" Id="rId359"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6" Target="https://spec.torproject.org/rend-spec-v3" TargetMode="External" /><Relationship Type="http://schemas.openxmlformats.org/officeDocument/2006/relationships/hyperlink" Id="rId352"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4" Target="https://tools.ietf.org/doc/html/rfc5280#section-4.1.2.2" TargetMode="External" /><Relationship Type="http://schemas.openxmlformats.org/officeDocument/2006/relationships/hyperlink" Id="rId351" Target="https://tools.ietf.org/doc/html/rfc6962" TargetMode="External" /><Relationship Type="http://schemas.openxmlformats.org/officeDocument/2006/relationships/hyperlink" Id="rId357" Target="https://tools.ietf.org/doc/html/rfc6962#section-3.1" TargetMode="External" /><Relationship Type="http://schemas.openxmlformats.org/officeDocument/2006/relationships/hyperlink" Id="rId353" Target="https://tools.ietf.org/doc/html/rfc6962#section-3.2" TargetMode="External" /><Relationship Type="http://schemas.openxmlformats.org/officeDocument/2006/relationships/hyperlink" Id="rId395" Target="https://tools.ietf.org/html/rfc4519" TargetMode="External" /><Relationship Type="http://schemas.openxmlformats.org/officeDocument/2006/relationships/hyperlink" Id="rId284" Target="https://tools.ietf.org/html/rfc5280" TargetMode="External" /><Relationship Type="http://schemas.openxmlformats.org/officeDocument/2006/relationships/hyperlink" Id="rId285" Target="https://tools.ietf.org/html/rfc5280#appendix-B" TargetMode="External" /><Relationship Type="http://schemas.openxmlformats.org/officeDocument/2006/relationships/hyperlink" Id="rId372" Target="https://tools.ietf.org/html/rfc5280#section-4.2.1.10" TargetMode="External" /><Relationship Type="http://schemas.openxmlformats.org/officeDocument/2006/relationships/hyperlink" Id="rId295" Target="https://tools.ietf.org/html/rfc5280#section-4.2.1.13" TargetMode="External" /><Relationship Type="http://schemas.openxmlformats.org/officeDocument/2006/relationships/hyperlink" Id="rId379" Target="https://tools.ietf.org/html/rfc5280#section-4.2.1.2" TargetMode="External" /><Relationship Type="http://schemas.openxmlformats.org/officeDocument/2006/relationships/hyperlink" Id="rId337" Target="https://tools.ietf.org/html/rfc5280#section-4.2.1.6" TargetMode="External" /><Relationship Type="http://schemas.openxmlformats.org/officeDocument/2006/relationships/hyperlink" Id="rId391" Target="https://tools.ietf.org/html/rfc5280#section-6" TargetMode="External" /><Relationship Type="http://schemas.openxmlformats.org/officeDocument/2006/relationships/hyperlink" Id="rId392" Target="https://tools.ietf.org/html/rfc5280#section-7.1" TargetMode="External" /><Relationship Type="http://schemas.openxmlformats.org/officeDocument/2006/relationships/hyperlink" Id="rId340" Target="https://tools.ietf.org/html/rfc6960#section-4.2.2.2" TargetMode="External" /><Relationship Type="http://schemas.openxmlformats.org/officeDocument/2006/relationships/hyperlink" Id="rId346" Target="https://tools.ietf.org/html/rfc6960#section-4.2.2.2.1" TargetMode="External" /><Relationship Type="http://schemas.openxmlformats.org/officeDocument/2006/relationships/hyperlink" Id="rId309" Target="https://tools.ietf.org/html/rfc6962#section-3.1" TargetMode="External" /><Relationship Type="http://schemas.openxmlformats.org/officeDocument/2006/relationships/hyperlink" Id="rId310" Target="https://tools.ietf.org/html/rfc6962#section-3.2" TargetMode="External" /><Relationship Type="http://schemas.openxmlformats.org/officeDocument/2006/relationships/hyperlink" Id="rId377"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2024-09-22T18:50:54Z</dcterms:created>
  <dcterms:modified xsi:type="dcterms:W3CDTF">2024-09-22T18:50:54Z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6-September-2024</vt:lpwstr>
  </property>
  <property fmtid="{D5CDD505-2E9C-101B-9397-08002B2CF9AE}" pid="4" name="draft">
    <vt:lpwstr>True</vt:lpwstr>
  </property>
  <property fmtid="{D5CDD505-2E9C-101B-9397-08002B2CF9AE}" pid="5" name="subtitle">
    <vt:lpwstr>Version 2.0.7</vt:lpwstr>
  </property>
</Properties>
</file>