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Kessler Mobility - Commercial Terms</w:t>
      </w:r>
    </w:p>
    <w:p>
      <w:r>
        <w:t>RFQ KM-2026-0231 - Inverter Gen3 programme. Issued to supplier Acme Components.</w:t>
      </w:r>
    </w:p>
    <w:p>
      <w:pPr>
        <w:pStyle w:val="Heading1"/>
      </w:pPr>
      <w:r>
        <w:t>General</w:t>
      </w:r>
    </w:p>
    <w:p>
      <w:pPr>
        <w:pStyle w:val="Heading2"/>
      </w:pPr>
      <w:r>
        <w:t>Pricing</w:t>
      </w:r>
    </w:p>
    <w:p>
      <w:r>
        <w:rPr>
          <w:b/>
        </w:rPr>
        <w:t>CT-1</w:t>
      </w:r>
      <w:r>
        <w:t xml:space="preserve"> Prices are fixed for the entire series life of the programme and shall not be adjusted for raw material, energy or currency movements.</w:t>
      </w:r>
    </w:p>
    <w:p>
      <w:r>
        <w:rPr>
          <w:b/>
        </w:rPr>
        <w:t>CT-2</w:t>
      </w:r>
      <w:r>
        <w:t xml:space="preserve"> Prices are quoted in euro per piece and include packaging and the delivery obligation of the agreed Incoterm.</w:t>
      </w:r>
    </w:p>
    <w:p>
      <w:pPr>
        <w:pStyle w:val="Heading2"/>
      </w:pPr>
      <w:r>
        <w:t>Payment</w:t>
      </w:r>
    </w:p>
    <w:p>
      <w:r>
        <w:rPr>
          <w:b/>
        </w:rPr>
        <w:t>CT-3</w:t>
      </w:r>
      <w:r>
        <w:t xml:space="preserve"> Payment shall be made 90 days net from the date of a correct invoice.</w:t>
      </w:r>
    </w:p>
    <w:p>
      <w:pPr>
        <w:pStyle w:val="Heading2"/>
      </w:pPr>
      <w:r>
        <w:t>Price-down</w:t>
      </w:r>
    </w:p>
    <w:p>
      <w:r>
        <w:rPr>
          <w:b/>
        </w:rPr>
        <w:t>CT-4</w:t>
      </w:r>
      <w:r>
        <w:t xml:space="preserve"> The Supplier shall grant an annual price reduction of 4 percent on all series prices for 5 years from start of production.</w:t>
      </w:r>
    </w:p>
    <w:p>
      <w:pPr>
        <w:pStyle w:val="Heading2"/>
      </w:pPr>
      <w:r>
        <w:t>Liquidated damages</w:t>
      </w:r>
    </w:p>
    <w:p>
      <w:r>
        <w:rPr>
          <w:b/>
        </w:rPr>
        <w:t>CT-5</w:t>
      </w:r>
      <w:r>
        <w:t xml:space="preserve"> The Supplier shall pay liquidated damages for late delivery equal to the actual loss of the Buyer, without a cap.</w:t>
      </w:r>
    </w:p>
    <w:p>
      <w:pPr>
        <w:pStyle w:val="Heading2"/>
      </w:pPr>
      <w:r>
        <w:t>Warranty</w:t>
      </w:r>
    </w:p>
    <w:p>
      <w:r>
        <w:rPr>
          <w:b/>
        </w:rPr>
        <w:t>CT-6</w:t>
      </w:r>
      <w:r>
        <w:t xml:space="preserve"> The warranty period is 60 months from the date of vehicle build, without a mileage limit.</w:t>
      </w:r>
    </w:p>
    <w:p>
      <w:pPr>
        <w:pStyle w:val="Heading2"/>
      </w:pPr>
      <w:r>
        <w:t>Liability</w:t>
      </w:r>
    </w:p>
    <w:p>
      <w:r>
        <w:rPr>
          <w:b/>
        </w:rPr>
        <w:t>CT-7</w:t>
      </w:r>
      <w:r>
        <w:t xml:space="preserve"> The Supplier is liable without limit for indirect and consequential losses, including vehicle recall and field action costs.</w:t>
      </w:r>
    </w:p>
    <w:p>
      <w:pPr>
        <w:pStyle w:val="Heading2"/>
      </w:pPr>
      <w:r>
        <w:t>Tooling</w:t>
      </w:r>
    </w:p>
    <w:p>
      <w:r>
        <w:rPr>
          <w:b/>
        </w:rPr>
        <w:t>CT-8</w:t>
      </w:r>
      <w:r>
        <w:t xml:space="preserve"> Tooling paid for by the Buyer is Buyer property; the Supplier maintains it at its own cost and insures it for replacement value.</w:t>
      </w:r>
    </w:p>
    <w:p>
      <w:pPr>
        <w:pStyle w:val="Heading2"/>
      </w:pPr>
      <w:r>
        <w:t>Confidentiality</w:t>
      </w:r>
    </w:p>
    <w:p>
      <w:r>
        <w:rPr>
          <w:b/>
        </w:rPr>
        <w:t>CT-9</w:t>
      </w:r>
      <w:r>
        <w:t xml:space="preserve"> Each party shall keep the other party's confidential information secret for fifteen years after the end of the supply relationship.</w:t>
      </w:r>
    </w:p>
    <w:p>
      <w:pPr>
        <w:pStyle w:val="Heading2"/>
      </w:pPr>
      <w:r>
        <w:t>Governing law</w:t>
      </w:r>
    </w:p>
    <w:p>
      <w:r>
        <w:rPr>
          <w:b/>
        </w:rPr>
        <w:t>CT-10</w:t>
      </w:r>
      <w:r>
        <w:t xml:space="preserve"> This agreement is governed by the law of the Buyer's seat; the competent court will be named in the purchase order.</w:t>
      </w:r>
    </w:p>
    <w:p>
      <w:pPr>
        <w:pStyle w:val="Heading2"/>
      </w:pPr>
      <w:r>
        <w:t>Force majeure</w:t>
      </w:r>
    </w:p>
    <w:p>
      <w:r>
        <w:rPr>
          <w:b/>
        </w:rPr>
        <w:t>CT-11</w:t>
      </w:r>
      <w:r>
        <w:t xml:space="preserve"> Neither party is liable for delay caused by force majeure, provided it notifies the other party within five working days.</w:t>
      </w:r>
    </w:p>
    <w:p>
      <w:pPr>
        <w:pStyle w:val="Heading2"/>
      </w:pPr>
      <w:r>
        <w:t>Termination</w:t>
      </w:r>
    </w:p>
    <w:p>
      <w:r>
        <w:rPr>
          <w:b/>
        </w:rPr>
        <w:t>CT-12</w:t>
      </w:r>
      <w:r>
        <w:t xml:space="preserve"> The Buyer may terminate a purchase order for convenience on three months written notice; compensation is limited to finished goods.</w:t>
      </w:r>
    </w:p>
    <w:p>
      <w:pPr>
        <w:pStyle w:val="Heading2"/>
      </w:pPr>
      <w:r>
        <w:t>Assignment</w:t>
      </w:r>
    </w:p>
    <w:p>
      <w:r>
        <w:rPr>
          <w:b/>
        </w:rPr>
        <w:t>CT-13</w:t>
      </w:r>
      <w:r>
        <w:t xml:space="preserve"> Neither party may assign this agreement without the written consent of the other party.</w:t>
      </w:r>
    </w:p>
    <w:p>
      <w:pPr>
        <w:pStyle w:val="Heading2"/>
      </w:pPr>
      <w:r>
        <w:t>Notices</w:t>
      </w:r>
    </w:p>
    <w:p>
      <w:r>
        <w:rPr>
          <w:b/>
        </w:rPr>
        <w:t>CT-14</w:t>
      </w:r>
      <w:r>
        <w:t xml:space="preserve"> Notices shall be in writing and sent to the contact addresses named in the purchase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Kessler Mobility - Commercial Terms RFQ KM-2026-0231</dc:title>
  <dc:subject/>
  <dc:creator>Kessler Mobility</dc:creator>
  <cp:keywords/>
  <dc:description>Fictional sample for software testing</dc:description>
  <cp:lastModifiedBy>Kessler Mobility</cp:lastModifiedBy>
  <cp:revision>1</cp:revision>
  <dcterms:created xsi:type="dcterms:W3CDTF">2026-10-07T00:00:00Z</dcterms:created>
  <dcterms:modified xsi:type="dcterms:W3CDTF">2026-10-07T00:00:00Z</dcterms:modified>
  <cp:category/>
</cp:coreProperties>
</file>