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Arvant Motors - Commercial Terms</w:t>
      </w:r>
    </w:p>
    <w:p>
      <w:r>
        <w:t>RFQ AM-2026-0417 - Volt-7 electric platform. Issued to supplier Acme Components.</w:t>
      </w:r>
    </w:p>
    <w:p>
      <w:r>
        <w:t>Addendum 1 dated 2026-10-02 supersedes the terms issued on 2026-09-14.</w:t>
      </w:r>
    </w:p>
    <w:p>
      <w:pPr>
        <w:pStyle w:val="Heading1"/>
      </w:pPr>
      <w:r>
        <w:t>General</w:t>
      </w:r>
    </w:p>
    <w:p>
      <w:pPr>
        <w:pStyle w:val="Heading2"/>
      </w:pPr>
      <w:r>
        <w:t>Pricing</w:t>
      </w:r>
    </w:p>
    <w:p>
      <w:r>
        <w:rPr>
          <w:b/>
        </w:rPr>
        <w:t>CT-1</w:t>
      </w:r>
      <w:r>
        <w:t xml:space="preserve"> Prices shall be quoted in euro per piece, fixed for the first twelve months of series production, and shall exclude tooling.</w:t>
      </w:r>
    </w:p>
    <w:p>
      <w:r>
        <w:rPr>
          <w:b/>
        </w:rPr>
        <w:t>CT-2</w:t>
      </w:r>
      <w:r>
        <w:t xml:space="preserve"> Prices include packaging and the delivery obligation of the agreed Incoterm and exclude value added tax.</w:t>
      </w:r>
    </w:p>
    <w:p>
      <w:pPr>
        <w:pStyle w:val="Heading2"/>
      </w:pPr>
      <w:r>
        <w:t>Payment</w:t>
      </w:r>
    </w:p>
    <w:p>
      <w:r>
        <w:rPr>
          <w:b/>
        </w:rPr>
        <w:t>CT-3</w:t>
      </w:r>
      <w:r>
        <w:t xml:space="preserve"> Payment shall be made 75 days net from the date of a correct invoice.</w:t>
      </w:r>
    </w:p>
    <w:p>
      <w:pPr>
        <w:pStyle w:val="Heading2"/>
      </w:pPr>
      <w:r>
        <w:t>Price-down</w:t>
      </w:r>
    </w:p>
    <w:p>
      <w:r>
        <w:rPr>
          <w:b/>
        </w:rPr>
        <w:t>CT-4</w:t>
      </w:r>
      <w:r>
        <w:t xml:space="preserve"> The Supplier shall grant an annual price reduction of 3 percent on all series prices for 3 years from start of production.</w:t>
      </w:r>
    </w:p>
    <w:p>
      <w:pPr>
        <w:pStyle w:val="Heading2"/>
      </w:pPr>
      <w:r>
        <w:t>Liquidated damages</w:t>
      </w:r>
    </w:p>
    <w:p>
      <w:r>
        <w:rPr>
          <w:b/>
        </w:rPr>
        <w:t>CT-5</w:t>
      </w:r>
      <w:r>
        <w:t xml:space="preserve"> The Supplier shall pay liquidated damages for late delivery of up to 5 percent of the value of the affected purchase order.</w:t>
      </w:r>
    </w:p>
    <w:p>
      <w:pPr>
        <w:pStyle w:val="Heading2"/>
      </w:pPr>
      <w:r>
        <w:t>Warranty</w:t>
      </w:r>
    </w:p>
    <w:p>
      <w:r>
        <w:rPr>
          <w:b/>
        </w:rPr>
        <w:t>CT-6</w:t>
      </w:r>
      <w:r>
        <w:t xml:space="preserve"> The warranty period is 36 months or 100000 km, whichever comes first, from the date of vehicle build.</w:t>
      </w:r>
    </w:p>
    <w:p>
      <w:pPr>
        <w:pStyle w:val="Heading2"/>
      </w:pPr>
      <w:r>
        <w:t>Liability</w:t>
      </w:r>
    </w:p>
    <w:p>
      <w:r>
        <w:rPr>
          <w:b/>
        </w:rPr>
        <w:t>CT-7</w:t>
      </w:r>
      <w:r>
        <w:t xml:space="preserve"> Each party is liable for direct damages only; indirect and consequential losses are excluded.</w:t>
      </w:r>
    </w:p>
    <w:p>
      <w:pPr>
        <w:pStyle w:val="Heading2"/>
      </w:pPr>
      <w:r>
        <w:t>Tooling</w:t>
      </w:r>
    </w:p>
    <w:p>
      <w:r>
        <w:rPr>
          <w:b/>
        </w:rPr>
        <w:t>CT-8</w:t>
      </w:r>
      <w:r>
        <w:t xml:space="preserve"> Tooling paid for by the Buyer is Buyer property; the Supplier maintains it at its own cost and insures it for replacement value.</w:t>
      </w:r>
    </w:p>
    <w:p>
      <w:pPr>
        <w:pStyle w:val="Heading2"/>
      </w:pPr>
      <w:r>
        <w:t>Confidentiality</w:t>
      </w:r>
    </w:p>
    <w:p>
      <w:r>
        <w:rPr>
          <w:b/>
        </w:rPr>
        <w:t>CT-9</w:t>
      </w:r>
      <w:r>
        <w:t xml:space="preserve"> Each party shall keep the other party's confidential information secret for ten years after the end of the supply relationship.</w:t>
      </w:r>
    </w:p>
    <w:p>
      <w:pPr>
        <w:pStyle w:val="Heading2"/>
      </w:pPr>
      <w:r>
        <w:t>Governing law</w:t>
      </w:r>
    </w:p>
    <w:p>
      <w:r>
        <w:rPr>
          <w:b/>
        </w:rPr>
        <w:t>CT-10</w:t>
      </w:r>
      <w:r>
        <w:t xml:space="preserve"> This agreement is governed by the law of the Buyer's seat and disputes are decided by arbitration, the seat and rules of which will be named in the purchase order.</w:t>
      </w:r>
    </w:p>
    <w:p>
      <w:pPr>
        <w:pStyle w:val="Heading2"/>
      </w:pPr>
      <w:r>
        <w:t>Force majeure</w:t>
      </w:r>
    </w:p>
    <w:p>
      <w:r>
        <w:rPr>
          <w:b/>
        </w:rPr>
        <w:t>CT-11</w:t>
      </w:r>
      <w:r>
        <w:t xml:space="preserve"> Neither party is liable for delay caused by force majeure, provided it notifies the other party within five working days.</w:t>
      </w:r>
    </w:p>
    <w:p>
      <w:pPr>
        <w:pStyle w:val="Heading2"/>
      </w:pPr>
      <w:r>
        <w:t>Termination</w:t>
      </w:r>
    </w:p>
    <w:p>
      <w:r>
        <w:rPr>
          <w:b/>
        </w:rPr>
        <w:t>CT-12</w:t>
      </w:r>
      <w:r>
        <w:t xml:space="preserve"> The Buyer may terminate a purchase order for convenience on twelve months written notice against payment of finished goods and open material.</w:t>
      </w:r>
    </w:p>
    <w:p>
      <w:pPr>
        <w:pStyle w:val="Heading2"/>
      </w:pPr>
      <w:r>
        <w:t>Assignment</w:t>
      </w:r>
    </w:p>
    <w:p>
      <w:r>
        <w:rPr>
          <w:b/>
        </w:rPr>
        <w:t>CT-13</w:t>
      </w:r>
      <w:r>
        <w:t xml:space="preserve"> Neither party may assign this agreement without the written consent of the other party, which shall not be unreasonably withheld.</w:t>
      </w:r>
    </w:p>
    <w:p>
      <w:pPr>
        <w:pStyle w:val="Heading2"/>
      </w:pPr>
      <w:r>
        <w:t>Notices</w:t>
      </w:r>
    </w:p>
    <w:p>
      <w:r>
        <w:rPr>
          <w:b/>
        </w:rPr>
        <w:t>CT-14</w:t>
      </w:r>
      <w:r>
        <w:t xml:space="preserve"> Notices shall be in writing and sent to the contact addresses named in the purchase order.</w:t>
      </w:r>
    </w:p>
    <w:p>
      <w:pPr>
        <w:pStyle w:val="Heading2"/>
      </w:pPr>
      <w:r>
        <w:t>Insurance</w:t>
      </w:r>
    </w:p>
    <w:p>
      <w:r>
        <w:rPr>
          <w:b/>
        </w:rPr>
        <w:t>CT-15</w:t>
      </w:r>
      <w:r>
        <w:t xml:space="preserve"> The Supplier shall maintain product liability insurance appropriate to the supply volume throughout the supply relationship.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Arvant Motors - Commercial Terms RFQ AM-2026-0417</dc:title>
  <dc:subject/>
  <dc:creator>Arvant Motors</dc:creator>
  <cp:keywords/>
  <dc:description>Fictional sample for software testing</dc:description>
  <cp:lastModifiedBy>Arvant Motors</cp:lastModifiedBy>
  <cp:revision>1</cp:revision>
  <dcterms:created xsi:type="dcterms:W3CDTF">2026-10-07T00:00:00Z</dcterms:created>
  <dcterms:modified xsi:type="dcterms:W3CDTF">2026-10-07T00:00:00Z</dcterms:modified>
  <cp:category/>
</cp:coreProperties>
</file>