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line="276" w:lineRule="auto"/>
        <w:jc w:val="center"/>
      </w:pPr>
      <w:r>
        <w:rPr>
          <w:rFonts w:ascii="Arial" w:hAnsi="Arial" w:eastAsia="Arial"/>
          <w:b/>
          <w:i w:val="0"/>
          <w:sz w:val="46"/>
          <w:u w:val="none"/>
        </w:rPr>
        <w:t>婚前契約書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第1条（契約の目的）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甲および乙は、将来の婚姻生活における財産関係その他の事項について、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相互の権利義務を明確にし、将来の紛争を予防することを目的として、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本契約（以下「本契約」という）を締結する。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第2条（婚姻の予定）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甲および乙は、{{excepted_date}}頃に婚姻の届出を行う予定であることを確認する。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第3条（財産制度の基本原則）</w:t>
      </w:r>
    </w:p>
    <w:p>
      <w:pPr>
        <w:spacing w:before="480" w:after="48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{{</w:t>
      </w:r>
      <w:r>
        <w:rPr>
          <w:rFonts w:ascii="Arial" w:hAnsi="Arial" w:eastAsia="Arial"/>
          <w:b w:val="0"/>
          <w:i w:val="0"/>
          <w:sz w:val="22"/>
          <w:u w:val="none"/>
        </w:rPr>
        <w:t xml:space="preserve">property_system}} </w:t>
        <w:br/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第4条（特有財産の範囲）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次の各号に掲げる財産は、婚姻後においても当該取得者の特有財産とする。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1. 婚姻前から各自が所有していた財産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2. 婚姻後であっても、相続、遺贈または贈与により取得した財産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3. 前各号の財産から生じた果実および代替物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4. その他、当事者間で特有財産として合意した財産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第5条（特有財産の管理・処分）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特有財産については、その所有者が単独で管理、使用、収益および処分する権限を有し、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他方当事者はこれに一切関与しないものとする。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第6条（共有財産の例外的取扱い）</w:t>
      </w:r>
    </w:p>
    <w:p>
      <w:pPr>
        <w:spacing w:before="480" w:after="48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{{</w:t>
      </w:r>
      <w:r>
        <w:rPr>
          <w:rFonts w:ascii="Arial" w:hAnsi="Arial" w:eastAsia="Arial"/>
          <w:b w:val="0"/>
          <w:i w:val="0"/>
          <w:sz w:val="22"/>
          <w:u w:val="none"/>
        </w:rPr>
        <w:t>shared_property}}</w:t>
        <w:br/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第7条（婚姻費用の分担）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婚姻生活に要する費用（以下「婚姻費用」という）は、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甲および乙が協議のうえ定める方法により分担するものとする。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・収入比率 : {{ratio}}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・定額 : {{fixed}}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・一方負担 : {{one_side}}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第8条（債務の帰属）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甲および乙は、婚姻前および婚姻後に各自が負担する債務については、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各自が単独で責任を負うものとし、他方当事者に一切の負担を及ぼさない。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第9条（保証・連帯保証の禁止）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甲および乙は、相手方の債務について、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事前に書面による同意がない限り、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保証人または連帯保証人とはならない。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第10条（子に関する定め）</w:t>
      </w:r>
      <w:r>
        <w:rPr>
          <w:rFonts w:ascii="Arial" w:hAnsi="Arial" w:eastAsia="Arial"/>
          <w:b/>
          <w:i w:val="0"/>
          <w:sz w:val="26"/>
          <w:u w:val="none"/>
        </w:rPr>
        <w:br/>
      </w:r>
    </w:p>
    <w:p>
      <w:pPr>
        <w:spacing w:before="480" w:after="48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{{</w:t>
      </w:r>
      <w:r>
        <w:rPr>
          <w:rFonts w:ascii="Arial" w:hAnsi="Arial" w:eastAsia="Arial"/>
          <w:b w:val="0"/>
          <w:i w:val="0"/>
          <w:sz w:val="22"/>
          <w:u w:val="none"/>
        </w:rPr>
        <w:t>has_children}}</w:t>
        <w:br/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第11条（離婚時の財産清算）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甲および乙が離婚する場合においても、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各自の特有財産は各自に帰属し、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原則として財産分与の対象としないことを確認する。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第12条（損害賠償および清算）</w:t>
      </w:r>
    </w:p>
    <w:p>
      <w:pPr>
        <w:spacing w:before="480" w:after="48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{{</w:t>
      </w:r>
      <w:r>
        <w:rPr>
          <w:rFonts w:ascii="Arial" w:hAnsi="Arial" w:eastAsia="Arial"/>
          <w:b w:val="0"/>
          <w:i w:val="0"/>
          <w:sz w:val="22"/>
          <w:u w:val="none"/>
        </w:rPr>
        <w:t>penalty_clause}}</w:t>
        <w:br/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第13条（相続に関する特約）</w:t>
      </w:r>
      <w:r>
        <w:rPr>
          <w:rFonts w:ascii="Arial" w:hAnsi="Arial" w:eastAsia="Arial"/>
          <w:b/>
          <w:i w:val="0"/>
          <w:sz w:val="26"/>
          <w:u w:val="none"/>
        </w:rPr>
        <w:br/>
      </w:r>
    </w:p>
    <w:p>
      <w:pPr>
        <w:spacing w:before="480" w:after="48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{{</w:t>
      </w:r>
      <w:r>
        <w:rPr>
          <w:rFonts w:ascii="Arial" w:hAnsi="Arial" w:eastAsia="Arial"/>
          <w:b w:val="0"/>
          <w:i w:val="0"/>
          <w:sz w:val="22"/>
          <w:u w:val="none"/>
        </w:rPr>
        <w:t>inheritance_type}}</w:t>
        <w:br/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第14条（協議解決）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本契約に定めのない事項または解釈に疑義が生じた場合には、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甲および乙は誠意をもって協議し、円満に解決を図るものとする。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第15条（公正証書化）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甲および乙は、本契約を公正証書として作成することに合意する。</w:t>
      </w:r>
    </w:p>
    <w:p>
      <w:pPr>
        <w:spacing w:after="80" w:line="276" w:lineRule="auto"/>
        <w:jc w:val="left"/>
      </w:pPr>
      <w:r>
        <w:rPr>
          <w:rFonts w:ascii="Arial" w:hAnsi="Arial" w:eastAsia="Arial"/>
          <w:b/>
          <w:i w:val="0"/>
          <w:sz w:val="34"/>
          <w:u w:val="none"/>
        </w:rPr>
        <w:t>署名欄</w:t>
      </w:r>
      <w:r>
        <w:rPr>
          <w:rFonts w:ascii="Arial" w:hAnsi="Arial" w:eastAsia="Arial"/>
          <w:b w:val="0"/>
          <w:i w:val="0"/>
          <w:sz w:val="34"/>
          <w:u w:val="none"/>
        </w:rPr>
        <w:br/>
      </w:r>
    </w:p>
    <w:p>
      <w:pPr>
        <w:spacing w:before="240" w:after="120" w:line="276" w:lineRule="auto"/>
        <w:jc w:val="left"/>
      </w:pPr>
      <w:r>
        <w:rPr>
          <w:rFonts w:ascii="Arial" w:hAnsi="Arial" w:eastAsia="Arial"/>
          <w:b w:val="0"/>
          <w:i w:val="0"/>
          <w:sz w:val="22"/>
          <w:u w:val="none"/>
        </w:rPr>
        <w:t>令和8年1月24日</w:t>
        <w:br/>
        <w:br/>
        <w:br/>
        <w:t>甲　住所：東京都渋谷区</w:t>
        <w:br/>
        <w:t xml:space="preserve">　　氏名：山田太郎　　　　　　　　　　　印</w:t>
        <w:br/>
        <w:br/>
        <w:t>乙　住所：東京都渋谷区</w:t>
        <w:br/>
        <w:t xml:space="preserve">　　氏名：山田花子　　　　　　　　　　　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