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AAA</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IKEA COMPANY</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BOULEVARD MOHAMMED VI, LOT AL MASSIRA, LOT N°187, APPT 5-6 3EME ETAGE</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28810</w:t>
            </w:r>
            <w:proofErr w:type="spellStart"/>
            <w:proofErr w:type="gramStart"/>
            <w:r w:rsidRPr="004F3623">
              <w:rPr>
                <w:b/>
                <w:bCs/>
                <w:sz w:val="20"/>
                <w:szCs w:val="20"/>
              </w:rPr>
              <w:t/>
            </w:r>
            <w:proofErr w:type="spellEnd"/>
            <w:proofErr w:type="gramEnd"/>
            <w:r w:rsidRPr="004F3623">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zz</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ZÉ2</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PRODUCTION</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07/02/2025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aMIR</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06/02/2025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AAA</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AAA</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zz</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A</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2009</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ZÉ2</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223</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PRODUCTION</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Absence de renseignement</w:t>
            </w:r>
            <w:proofErr w:type="spellStart"/>
            <w:proofErr w:type="gramStart"/>
            <w:r w:rsidR="00B213EE" w:rsidRPr="00DB34B2">
              <w:rPr>
                <w:b/>
                <w:bCs/>
              </w:rPr>
              <w:t/>
            </w:r>
            <w:proofErr w:type="spellEnd"/>
            <w:proofErr w:type="gramEnd"/>
            <w:r w:rsidR="00B213EE" w:rsidRPr="00DB34B2">
              <w:rPr>
                <w:b/>
                <w:bCs/>
              </w:rPr>
              <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avec la Charge maximale utile</w:t>
            </w:r>
            <w:proofErr w:type="spellStart"/>
            <w:proofErr w:type="gramStart"/>
            <w:r w:rsidRPr="004823B4">
              <w:rPr>
                <w:b/>
                <w:bCs/>
              </w:rPr>
              <w:t/>
            </w:r>
            <w:proofErr w:type="spellEnd"/>
            <w:proofErr w:type="gramEnd"/>
            <w:r w:rsidRPr="004823B4">
              <w:rPr>
                <w:b/>
                <w:bCs/>
              </w:rPr>
              <w:t xml:space="preserve"> </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12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3</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23</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21</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23</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23</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3</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3</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34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43</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34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34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 xml:space="preserve">Chaîne(s) à maillons calibrés :</w:t>
            </w:r>
            <w:proofErr w:type="spellStart"/>
            <w:proofErr w:type="gramStart"/>
            <w:r w:rsidRPr="00F60E48">
              <w:rPr>
                <w:b/>
                <w:sz w:val="20"/>
                <w:szCs w:val="20"/>
                <w:u w:val="single"/>
              </w:rPr>
              <w:t/>
            </w:r>
            <w:proofErr w:type="spellEnd"/>
            <w:proofErr w:type="gramEnd"/>
            <w:r w:rsidRPr="00F60E48">
              <w:rPr>
                <w:b/>
                <w:sz w:val="20"/>
                <w:szCs w:val="20"/>
                <w:u w:val="single"/>
              </w:rPr>
              <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34</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452127">
              <w:rPr>
                <w:b/>
                <w:sz w:val="20"/>
                <w:szCs w:val="20"/>
              </w:rPr>
              <w:t xml:space="preserve">A maillons courts</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32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Diamètre :</w:t>
            </w:r>
            <w:r>
              <w:rPr>
                <w:bCs/>
                <w:sz w:val="20"/>
                <w:szCs w:val="20"/>
              </w:rPr>
              <w:t xml:space="preserve"> </w:t>
            </w:r>
            <w:r w:rsidRPr="00452127">
              <w:rPr>
                <w:b/>
                <w:sz w:val="20"/>
                <w:szCs w:val="20"/>
              </w:rPr>
              <w:t xml:space="preserve">22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3</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452127">
              <w:rPr>
                <w:b/>
                <w:sz w:val="20"/>
                <w:szCs w:val="20"/>
              </w:rPr>
              <w:t xml:space="preserve">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3</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2</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