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ENTORNOS DE DESARROLLO</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DESCRIPCIÓN DE FUNCIONALIDADES</w:t>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 primero que veremos en cuanto entremos a nuestra aplicación será un login, de manera que todo aquel que quiera acceder a ella deberá estar registrado previamente.</w:t>
      </w:r>
    </w:p>
    <w:p w:rsidR="00000000" w:rsidDel="00000000" w:rsidP="00000000" w:rsidRDefault="00000000" w:rsidRPr="00000000" w14:paraId="00000007">
      <w:pPr>
        <w:rPr>
          <w:b w:val="1"/>
          <w:sz w:val="24"/>
          <w:szCs w:val="24"/>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Lo primero que vamos a ver cuando abramos la aplicación será la página principal, en ella haremos un breve resumen de porqué los clientes deberían de elegirnos a la hora de comprar productos de un estanco.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 continuación vamos a explicar un poco cada apartado del menú principal.</w:t>
      </w:r>
    </w:p>
    <w:p w:rsidR="00000000" w:rsidDel="00000000" w:rsidP="00000000" w:rsidRDefault="00000000" w:rsidRPr="00000000" w14:paraId="0000000B">
      <w:pPr>
        <w:rPr/>
      </w:pPr>
      <w:r w:rsidDel="00000000" w:rsidR="00000000" w:rsidRPr="00000000">
        <w:rPr>
          <w:rtl w:val="0"/>
        </w:rPr>
        <w:t xml:space="preserve">En primer lugar tenemos la página de inicio en la que veremos un carrusel de imágenes relacionadas con los productos que vamos a vender, una lista de los productos que están rebajados de precio y una lista con los productos más vendidos.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En el siguiente apartado del menú, denominado “Quiénes somos”, explicaremos quienes son los que administran la página, de donde somos etc…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 continuación veremos otro apartado (Qué hacemos), donde explicamos a qué nos dedicamos, qué productos vendemos, porqué elegimos esos precios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En el siguiente apartado tendremos la opción de agregar productos, que será un enlace a un formulario de alta, donde el administrador de la página, mediante una serie de campos, agregará productos a nuestra tienda online.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Por último tendremos un apartado para ver todos los productos, en el que el cliente podrá  agregar al carrito los productos que crea convenientes. Agregaremos un campo para buscar por nombre los productos para que sean más sencillos de encontrar.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este apartado, el administrador de la página podrá modificar dichos productos mediante un formulario y realizar los cambios necesarios.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cuanto a la lógica de negocio, nuestra página proporcionará un descuento del 25% a todas las compras superiores a 50€ y un descuento del 10% por la compra de 2 cartuchos de tabaco de liar.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