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9B5C69" w14:textId="63DA716C" w:rsidR="005F4C98" w:rsidRPr="008E0064" w:rsidRDefault="005F4C98" w:rsidP="008E0064">
      <w:pPr>
        <w:spacing w:line="480" w:lineRule="auto"/>
        <w:jc w:val="center"/>
        <w:rPr>
          <w:rFonts w:ascii="Times New Roman" w:hAnsi="Times New Roman" w:cs="Times New Roman"/>
          <w:b/>
          <w:sz w:val="24"/>
          <w:szCs w:val="24"/>
          <w:lang w:val="en-US"/>
        </w:rPr>
      </w:pPr>
      <w:r w:rsidRPr="008E0064">
        <w:rPr>
          <w:rFonts w:ascii="Times New Roman" w:hAnsi="Times New Roman" w:cs="Times New Roman"/>
          <w:b/>
          <w:sz w:val="24"/>
          <w:szCs w:val="24"/>
          <w:lang w:val="en-US"/>
        </w:rPr>
        <w:t>A Meta-Analysis of Studies Addressing the Impact of Glyphosate on Human, Animal, and Environment</w:t>
      </w:r>
    </w:p>
    <w:p w14:paraId="789DE91A" w14:textId="7D313A6D" w:rsidR="00CD40DF" w:rsidRPr="008E0064" w:rsidRDefault="00A742D2" w:rsidP="00033F08">
      <w:pPr>
        <w:spacing w:line="480" w:lineRule="auto"/>
        <w:jc w:val="both"/>
        <w:rPr>
          <w:rFonts w:ascii="Times New Roman" w:hAnsi="Times New Roman" w:cs="Times New Roman"/>
          <w:b/>
          <w:sz w:val="24"/>
          <w:szCs w:val="24"/>
          <w:lang w:val="en-US"/>
        </w:rPr>
      </w:pPr>
      <w:r w:rsidRPr="008E0064">
        <w:rPr>
          <w:rFonts w:ascii="Times New Roman" w:hAnsi="Times New Roman" w:cs="Times New Roman"/>
          <w:b/>
          <w:sz w:val="24"/>
          <w:szCs w:val="24"/>
          <w:lang w:val="en-US"/>
        </w:rPr>
        <w:t>Abstract</w:t>
      </w:r>
    </w:p>
    <w:p w14:paraId="6270341C" w14:textId="6780125C" w:rsidR="00E85EF6" w:rsidRPr="008E0064" w:rsidRDefault="00E85EF6" w:rsidP="00033F08">
      <w:pPr>
        <w:spacing w:line="480" w:lineRule="auto"/>
        <w:jc w:val="both"/>
        <w:rPr>
          <w:rFonts w:ascii="Times New Roman" w:hAnsi="Times New Roman" w:cs="Times New Roman"/>
          <w:b/>
          <w:sz w:val="24"/>
          <w:szCs w:val="24"/>
          <w:lang w:val="en-US"/>
        </w:rPr>
      </w:pPr>
      <w:r w:rsidRPr="008E0064">
        <w:rPr>
          <w:rFonts w:ascii="Times New Roman" w:hAnsi="Times New Roman" w:cs="Times New Roman"/>
          <w:b/>
          <w:sz w:val="24"/>
          <w:szCs w:val="24"/>
          <w:lang w:val="en-US"/>
        </w:rPr>
        <w:t>Introduction</w:t>
      </w:r>
    </w:p>
    <w:p w14:paraId="6CB9905D" w14:textId="77777777" w:rsidR="00665897" w:rsidRDefault="00FC24BC" w:rsidP="00033F08">
      <w:pPr>
        <w:spacing w:line="480" w:lineRule="auto"/>
        <w:jc w:val="both"/>
        <w:rPr>
          <w:rFonts w:ascii="Times New Roman" w:hAnsi="Times New Roman" w:cs="Times New Roman"/>
          <w:sz w:val="24"/>
          <w:szCs w:val="24"/>
          <w:lang w:val="en-US"/>
        </w:rPr>
      </w:pPr>
      <w:r w:rsidRPr="008E0064">
        <w:rPr>
          <w:rFonts w:ascii="Times New Roman" w:hAnsi="Times New Roman" w:cs="Times New Roman"/>
          <w:sz w:val="24"/>
          <w:szCs w:val="24"/>
          <w:lang w:val="en-US"/>
        </w:rPr>
        <w:t xml:space="preserve">Chemical herbicides, particularly glyphosate, have become a ubiquitous aspect of modern industrial agriculture. Although glyphosate was discovered </w:t>
      </w:r>
      <w:r w:rsidR="00665897" w:rsidRPr="008E0064">
        <w:rPr>
          <w:rFonts w:ascii="Times New Roman" w:hAnsi="Times New Roman" w:cs="Times New Roman"/>
          <w:sz w:val="24"/>
          <w:szCs w:val="24"/>
          <w:lang w:val="en-US"/>
        </w:rPr>
        <w:t xml:space="preserve">as </w:t>
      </w:r>
      <w:r w:rsidR="00665897">
        <w:rPr>
          <w:rFonts w:ascii="Times New Roman" w:hAnsi="Times New Roman" w:cs="Times New Roman"/>
          <w:sz w:val="24"/>
          <w:szCs w:val="24"/>
          <w:lang w:val="en-US"/>
        </w:rPr>
        <w:t>a</w:t>
      </w:r>
      <w:r w:rsidRPr="008E0064">
        <w:rPr>
          <w:rFonts w:ascii="Times New Roman" w:hAnsi="Times New Roman" w:cs="Times New Roman"/>
          <w:sz w:val="24"/>
          <w:szCs w:val="24"/>
          <w:lang w:val="en-US"/>
        </w:rPr>
        <w:t xml:space="preserve"> herbicide in the 1970s, the introduction of </w:t>
      </w:r>
      <w:r w:rsidR="001F5434" w:rsidRPr="008E0064">
        <w:rPr>
          <w:rFonts w:ascii="Times New Roman" w:hAnsi="Times New Roman" w:cs="Times New Roman"/>
          <w:sz w:val="24"/>
          <w:szCs w:val="24"/>
          <w:lang w:val="en-US"/>
        </w:rPr>
        <w:t>glyphosate resistant</w:t>
      </w:r>
      <w:r w:rsidRPr="008E0064">
        <w:rPr>
          <w:rFonts w:ascii="Times New Roman" w:hAnsi="Times New Roman" w:cs="Times New Roman"/>
          <w:sz w:val="24"/>
          <w:szCs w:val="24"/>
          <w:lang w:val="en-US"/>
        </w:rPr>
        <w:t xml:space="preserve"> genetically modified crops in 1994 resulted in a nearly 15-fold increase in global glyphosate usage</w:t>
      </w:r>
      <w:r w:rsidR="00181B18" w:rsidRPr="008E0064">
        <w:rPr>
          <w:rFonts w:ascii="Times New Roman" w:hAnsi="Times New Roman" w:cs="Times New Roman"/>
          <w:sz w:val="24"/>
          <w:szCs w:val="24"/>
          <w:lang w:val="en-US"/>
        </w:rPr>
        <w:t xml:space="preserve"> </w:t>
      </w:r>
      <w:r w:rsidR="00181B18" w:rsidRPr="008E0064">
        <w:rPr>
          <w:rFonts w:ascii="Times New Roman" w:hAnsi="Times New Roman" w:cs="Times New Roman"/>
          <w:lang w:val="en-US"/>
        </w:rPr>
        <w:t>(Benbrook 2016)</w:t>
      </w:r>
      <w:r w:rsidRPr="008E0064">
        <w:rPr>
          <w:rFonts w:ascii="Times New Roman" w:hAnsi="Times New Roman" w:cs="Times New Roman"/>
          <w:sz w:val="24"/>
          <w:szCs w:val="24"/>
          <w:lang w:val="en-US"/>
        </w:rPr>
        <w:t xml:space="preserve">. </w:t>
      </w:r>
      <w:r w:rsidR="001F5434" w:rsidRPr="008E0064">
        <w:rPr>
          <w:rFonts w:ascii="Times New Roman" w:hAnsi="Times New Roman" w:cs="Times New Roman"/>
          <w:sz w:val="24"/>
          <w:szCs w:val="24"/>
          <w:lang w:val="en-US"/>
        </w:rPr>
        <w:t xml:space="preserve">Glyphosate usage worldwide grew from approximately 67 million kilograms in 1995 to 826 million kilograms in 2014. Glyphosate, </w:t>
      </w:r>
      <w:r w:rsidR="00665897">
        <w:rPr>
          <w:rFonts w:ascii="Times New Roman" w:hAnsi="Times New Roman" w:cs="Times New Roman"/>
          <w:sz w:val="24"/>
          <w:szCs w:val="24"/>
          <w:lang w:val="en-US"/>
        </w:rPr>
        <w:t xml:space="preserve">which is </w:t>
      </w:r>
      <w:r w:rsidR="001F5434" w:rsidRPr="008E0064">
        <w:rPr>
          <w:rFonts w:ascii="Times New Roman" w:hAnsi="Times New Roman" w:cs="Times New Roman"/>
          <w:sz w:val="24"/>
          <w:szCs w:val="24"/>
          <w:lang w:val="en-US"/>
        </w:rPr>
        <w:t>also known scientifically as N-(</w:t>
      </w:r>
      <w:proofErr w:type="spellStart"/>
      <w:r w:rsidR="001F5434" w:rsidRPr="008E0064">
        <w:rPr>
          <w:rFonts w:ascii="Times New Roman" w:hAnsi="Times New Roman" w:cs="Times New Roman"/>
          <w:sz w:val="24"/>
          <w:szCs w:val="24"/>
          <w:lang w:val="en-US"/>
        </w:rPr>
        <w:t>phosphonomethyl</w:t>
      </w:r>
      <w:proofErr w:type="spellEnd"/>
      <w:r w:rsidR="001F5434" w:rsidRPr="008E0064">
        <w:rPr>
          <w:rFonts w:ascii="Times New Roman" w:hAnsi="Times New Roman" w:cs="Times New Roman"/>
          <w:sz w:val="24"/>
          <w:szCs w:val="24"/>
          <w:lang w:val="en-US"/>
        </w:rPr>
        <w:t xml:space="preserve">) glycine, is the active ingredient in a large number of commercial broad-spectrum systemic herbicides used for weed management. Glyphosate kills broadleaf weeds and grasses that compete with crops. </w:t>
      </w:r>
    </w:p>
    <w:p w14:paraId="38A88A30" w14:textId="77777777" w:rsidR="00665897" w:rsidRDefault="001F5434" w:rsidP="00033F08">
      <w:pPr>
        <w:spacing w:line="480" w:lineRule="auto"/>
        <w:jc w:val="both"/>
        <w:rPr>
          <w:rFonts w:ascii="Times New Roman" w:hAnsi="Times New Roman" w:cs="Times New Roman"/>
          <w:sz w:val="24"/>
          <w:szCs w:val="24"/>
          <w:lang w:val="en-US"/>
        </w:rPr>
      </w:pPr>
      <w:r w:rsidRPr="008E0064">
        <w:rPr>
          <w:rFonts w:ascii="Times New Roman" w:hAnsi="Times New Roman" w:cs="Times New Roman"/>
          <w:sz w:val="24"/>
          <w:szCs w:val="24"/>
          <w:lang w:val="en-US"/>
        </w:rPr>
        <w:t>Monsanto chemists discovered it as a pesticide in 1970 and commercialized it under the trade name Roundup in 1974 for commercial agriculture and home usage</w:t>
      </w:r>
      <w:r w:rsidR="00181B18" w:rsidRPr="008E0064">
        <w:rPr>
          <w:rFonts w:ascii="Times New Roman" w:hAnsi="Times New Roman" w:cs="Times New Roman"/>
          <w:sz w:val="24"/>
          <w:szCs w:val="24"/>
          <w:lang w:val="en-US"/>
        </w:rPr>
        <w:t xml:space="preserve"> </w:t>
      </w:r>
      <w:r w:rsidR="00181B18" w:rsidRPr="008E0064">
        <w:rPr>
          <w:rFonts w:ascii="Times New Roman" w:hAnsi="Times New Roman" w:cs="Times New Roman"/>
          <w:lang w:val="en-US"/>
        </w:rPr>
        <w:t>(</w:t>
      </w:r>
      <w:proofErr w:type="spellStart"/>
      <w:r w:rsidR="00181B18" w:rsidRPr="008E0064">
        <w:rPr>
          <w:rFonts w:ascii="Times New Roman" w:hAnsi="Times New Roman" w:cs="Times New Roman"/>
          <w:lang w:val="en-US"/>
        </w:rPr>
        <w:t>Stong</w:t>
      </w:r>
      <w:proofErr w:type="spellEnd"/>
      <w:r w:rsidR="00181B18" w:rsidRPr="008E0064">
        <w:rPr>
          <w:rFonts w:ascii="Times New Roman" w:hAnsi="Times New Roman" w:cs="Times New Roman"/>
          <w:lang w:val="en-US"/>
        </w:rPr>
        <w:t xml:space="preserve"> 1990)</w:t>
      </w:r>
      <w:r w:rsidRPr="008E0064">
        <w:rPr>
          <w:rFonts w:ascii="Times New Roman" w:hAnsi="Times New Roman" w:cs="Times New Roman"/>
          <w:sz w:val="24"/>
          <w:szCs w:val="24"/>
          <w:lang w:val="en-US"/>
        </w:rPr>
        <w:t>. Over the years, additional commercial/trade names</w:t>
      </w:r>
      <w:r w:rsidR="00D001D7" w:rsidRPr="008E0064">
        <w:rPr>
          <w:rFonts w:ascii="Times New Roman" w:hAnsi="Times New Roman" w:cs="Times New Roman"/>
          <w:sz w:val="24"/>
          <w:szCs w:val="24"/>
          <w:lang w:val="en-US"/>
        </w:rPr>
        <w:t xml:space="preserve"> of glyphosate such as</w:t>
      </w:r>
      <w:r w:rsidRPr="008E0064">
        <w:rPr>
          <w:rFonts w:ascii="Times New Roman" w:hAnsi="Times New Roman" w:cs="Times New Roman"/>
          <w:sz w:val="24"/>
          <w:szCs w:val="24"/>
          <w:lang w:val="en-US"/>
        </w:rPr>
        <w:t xml:space="preserve"> </w:t>
      </w:r>
      <w:r w:rsidR="00D001D7" w:rsidRPr="008E0064">
        <w:rPr>
          <w:rFonts w:ascii="Times New Roman" w:hAnsi="Times New Roman" w:cs="Times New Roman"/>
          <w:sz w:val="24"/>
          <w:szCs w:val="24"/>
          <w:lang w:val="en-US"/>
        </w:rPr>
        <w:t xml:space="preserve">Roundup Ultra®, Roundup </w:t>
      </w:r>
      <w:proofErr w:type="spellStart"/>
      <w:r w:rsidR="00D001D7" w:rsidRPr="008E0064">
        <w:rPr>
          <w:rFonts w:ascii="Times New Roman" w:hAnsi="Times New Roman" w:cs="Times New Roman"/>
          <w:sz w:val="24"/>
          <w:szCs w:val="24"/>
          <w:lang w:val="en-US"/>
        </w:rPr>
        <w:t>UltraDRY</w:t>
      </w:r>
      <w:proofErr w:type="spellEnd"/>
      <w:r w:rsidR="00D001D7" w:rsidRPr="008E0064">
        <w:rPr>
          <w:rFonts w:ascii="Times New Roman" w:hAnsi="Times New Roman" w:cs="Times New Roman"/>
          <w:sz w:val="24"/>
          <w:szCs w:val="24"/>
          <w:lang w:val="en-US"/>
        </w:rPr>
        <w:t xml:space="preserve">®, Roundup </w:t>
      </w:r>
      <w:proofErr w:type="spellStart"/>
      <w:r w:rsidR="00D001D7" w:rsidRPr="008E0064">
        <w:rPr>
          <w:rFonts w:ascii="Times New Roman" w:hAnsi="Times New Roman" w:cs="Times New Roman"/>
          <w:sz w:val="24"/>
          <w:szCs w:val="24"/>
          <w:lang w:val="en-US"/>
        </w:rPr>
        <w:t>UltraMAX</w:t>
      </w:r>
      <w:proofErr w:type="spellEnd"/>
      <w:r w:rsidR="00D001D7" w:rsidRPr="008E0064">
        <w:rPr>
          <w:rFonts w:ascii="Times New Roman" w:hAnsi="Times New Roman" w:cs="Times New Roman"/>
          <w:sz w:val="24"/>
          <w:szCs w:val="24"/>
          <w:lang w:val="en-US"/>
        </w:rPr>
        <w:t xml:space="preserve">®, Roundup </w:t>
      </w:r>
      <w:proofErr w:type="spellStart"/>
      <w:r w:rsidR="00D001D7" w:rsidRPr="008E0064">
        <w:rPr>
          <w:rFonts w:ascii="Times New Roman" w:hAnsi="Times New Roman" w:cs="Times New Roman"/>
          <w:sz w:val="24"/>
          <w:szCs w:val="24"/>
          <w:lang w:val="en-US"/>
        </w:rPr>
        <w:t>WeatherMAX</w:t>
      </w:r>
      <w:proofErr w:type="spellEnd"/>
      <w:r w:rsidR="00D001D7" w:rsidRPr="008E0064">
        <w:rPr>
          <w:rFonts w:ascii="Times New Roman" w:hAnsi="Times New Roman" w:cs="Times New Roman"/>
          <w:sz w:val="24"/>
          <w:szCs w:val="24"/>
          <w:lang w:val="en-US"/>
        </w:rPr>
        <w:t xml:space="preserve">®, Touchdown w/IQ®, Cornerstone®, </w:t>
      </w:r>
      <w:proofErr w:type="spellStart"/>
      <w:r w:rsidR="00D001D7" w:rsidRPr="008E0064">
        <w:rPr>
          <w:rFonts w:ascii="Times New Roman" w:hAnsi="Times New Roman" w:cs="Times New Roman"/>
          <w:sz w:val="24"/>
          <w:szCs w:val="24"/>
          <w:lang w:val="en-US"/>
        </w:rPr>
        <w:t>Clearout</w:t>
      </w:r>
      <w:proofErr w:type="spellEnd"/>
      <w:r w:rsidR="00D001D7" w:rsidRPr="008E0064">
        <w:rPr>
          <w:rFonts w:ascii="Times New Roman" w:hAnsi="Times New Roman" w:cs="Times New Roman"/>
          <w:sz w:val="24"/>
          <w:szCs w:val="24"/>
          <w:lang w:val="en-US"/>
        </w:rPr>
        <w:t xml:space="preserve"> 41 Plus®, </w:t>
      </w:r>
      <w:proofErr w:type="spellStart"/>
      <w:r w:rsidR="00D001D7" w:rsidRPr="008E0064">
        <w:rPr>
          <w:rFonts w:ascii="Times New Roman" w:hAnsi="Times New Roman" w:cs="Times New Roman"/>
          <w:sz w:val="24"/>
          <w:szCs w:val="24"/>
          <w:lang w:val="en-US"/>
        </w:rPr>
        <w:t>GlyphoMAX</w:t>
      </w:r>
      <w:proofErr w:type="spellEnd"/>
      <w:r w:rsidR="00D001D7" w:rsidRPr="008E0064">
        <w:rPr>
          <w:rFonts w:ascii="Times New Roman" w:hAnsi="Times New Roman" w:cs="Times New Roman"/>
          <w:sz w:val="24"/>
          <w:szCs w:val="24"/>
          <w:lang w:val="en-US"/>
        </w:rPr>
        <w:t xml:space="preserve">®, </w:t>
      </w:r>
      <w:proofErr w:type="spellStart"/>
      <w:r w:rsidR="00D001D7" w:rsidRPr="008E0064">
        <w:rPr>
          <w:rFonts w:ascii="Times New Roman" w:hAnsi="Times New Roman" w:cs="Times New Roman"/>
          <w:sz w:val="24"/>
          <w:szCs w:val="24"/>
          <w:lang w:val="en-US"/>
        </w:rPr>
        <w:t>Glyfos</w:t>
      </w:r>
      <w:proofErr w:type="spellEnd"/>
      <w:r w:rsidR="00D001D7" w:rsidRPr="008E0064">
        <w:rPr>
          <w:rFonts w:ascii="Times New Roman" w:hAnsi="Times New Roman" w:cs="Times New Roman"/>
          <w:sz w:val="24"/>
          <w:szCs w:val="24"/>
          <w:lang w:val="en-US"/>
        </w:rPr>
        <w:t xml:space="preserve"> </w:t>
      </w:r>
      <w:proofErr w:type="spellStart"/>
      <w:r w:rsidR="00D001D7" w:rsidRPr="008E0064">
        <w:rPr>
          <w:rFonts w:ascii="Times New Roman" w:hAnsi="Times New Roman" w:cs="Times New Roman"/>
          <w:sz w:val="24"/>
          <w:szCs w:val="24"/>
          <w:lang w:val="en-US"/>
        </w:rPr>
        <w:t>Xtra</w:t>
      </w:r>
      <w:proofErr w:type="spellEnd"/>
      <w:r w:rsidR="00D001D7" w:rsidRPr="008E0064">
        <w:rPr>
          <w:rFonts w:ascii="Times New Roman" w:hAnsi="Times New Roman" w:cs="Times New Roman"/>
          <w:sz w:val="24"/>
          <w:szCs w:val="24"/>
          <w:lang w:val="en-US"/>
        </w:rPr>
        <w:t xml:space="preserve">® and </w:t>
      </w:r>
      <w:proofErr w:type="spellStart"/>
      <w:r w:rsidR="00D001D7" w:rsidRPr="008E0064">
        <w:rPr>
          <w:rFonts w:ascii="Times New Roman" w:hAnsi="Times New Roman" w:cs="Times New Roman"/>
          <w:sz w:val="24"/>
          <w:szCs w:val="24"/>
          <w:lang w:val="en-US"/>
        </w:rPr>
        <w:t>Glyphomax</w:t>
      </w:r>
      <w:proofErr w:type="spellEnd"/>
      <w:r w:rsidR="00D001D7" w:rsidRPr="008E0064">
        <w:rPr>
          <w:rFonts w:ascii="Times New Roman" w:hAnsi="Times New Roman" w:cs="Times New Roman"/>
          <w:sz w:val="24"/>
          <w:szCs w:val="24"/>
          <w:lang w:val="en-US"/>
        </w:rPr>
        <w:t xml:space="preserve"> Plus® </w:t>
      </w:r>
      <w:r w:rsidRPr="008E0064">
        <w:rPr>
          <w:rFonts w:ascii="Times New Roman" w:hAnsi="Times New Roman" w:cs="Times New Roman"/>
          <w:sz w:val="24"/>
          <w:szCs w:val="24"/>
          <w:lang w:val="en-US"/>
        </w:rPr>
        <w:t xml:space="preserve">have been </w:t>
      </w:r>
      <w:r w:rsidR="00D001D7" w:rsidRPr="008E0064">
        <w:rPr>
          <w:rFonts w:ascii="Times New Roman" w:hAnsi="Times New Roman" w:cs="Times New Roman"/>
          <w:sz w:val="24"/>
          <w:szCs w:val="24"/>
          <w:lang w:val="en-US"/>
        </w:rPr>
        <w:t>sold on the market.</w:t>
      </w:r>
      <w:r w:rsidR="00665897">
        <w:rPr>
          <w:rFonts w:ascii="Times New Roman" w:hAnsi="Times New Roman" w:cs="Times New Roman"/>
          <w:sz w:val="24"/>
          <w:szCs w:val="24"/>
          <w:lang w:val="en-US"/>
        </w:rPr>
        <w:t xml:space="preserve"> </w:t>
      </w:r>
    </w:p>
    <w:p w14:paraId="70BBA844" w14:textId="39886D97" w:rsidR="000137F3" w:rsidRPr="008E0064" w:rsidRDefault="002D2008" w:rsidP="00033F08">
      <w:pPr>
        <w:spacing w:line="480" w:lineRule="auto"/>
        <w:jc w:val="both"/>
        <w:rPr>
          <w:rFonts w:ascii="Times New Roman" w:hAnsi="Times New Roman" w:cs="Times New Roman"/>
          <w:sz w:val="24"/>
          <w:szCs w:val="24"/>
          <w:lang w:val="en-US"/>
        </w:rPr>
      </w:pPr>
      <w:r w:rsidRPr="008E0064">
        <w:rPr>
          <w:rFonts w:ascii="Times New Roman" w:hAnsi="Times New Roman" w:cs="Times New Roman"/>
          <w:sz w:val="24"/>
          <w:szCs w:val="24"/>
          <w:lang w:val="en-US"/>
        </w:rPr>
        <w:t xml:space="preserve">Glyphosate is an organophosphorus compound that inhibits the enzyme 5-enolpyruvoylshikimate-3-phosphate synthase (EPSPS), which catalyzes the aromatic amino acids tyrosine, tryptophan, and phenylalanine production in plants. Due to the absence of the 5-enolpyruvoylshikimate-3-phosphate synthase (EPSPS) pathway in humans, other mammals, fish, birds, and insects, glyphosate has traditionally been considered harmless to these species when applied in prescribed amounts for plants. </w:t>
      </w:r>
      <w:r w:rsidR="009A6827">
        <w:rPr>
          <w:rFonts w:ascii="Times New Roman" w:hAnsi="Times New Roman" w:cs="Times New Roman"/>
          <w:sz w:val="24"/>
          <w:szCs w:val="24"/>
          <w:lang w:val="en-US"/>
        </w:rPr>
        <w:t>Glyphosate based herbicides (</w:t>
      </w:r>
      <w:proofErr w:type="gramStart"/>
      <w:r w:rsidR="009A6827">
        <w:rPr>
          <w:rFonts w:ascii="Times New Roman" w:hAnsi="Times New Roman" w:cs="Times New Roman"/>
          <w:sz w:val="24"/>
          <w:szCs w:val="24"/>
          <w:lang w:val="en-US"/>
        </w:rPr>
        <w:t>GBH )</w:t>
      </w:r>
      <w:proofErr w:type="gramEnd"/>
      <w:r w:rsidRPr="008E0064">
        <w:rPr>
          <w:rFonts w:ascii="Times New Roman" w:hAnsi="Times New Roman" w:cs="Times New Roman"/>
          <w:sz w:val="24"/>
          <w:szCs w:val="24"/>
          <w:lang w:val="en-US"/>
        </w:rPr>
        <w:t xml:space="preserve"> have been </w:t>
      </w:r>
      <w:r w:rsidRPr="008E0064">
        <w:rPr>
          <w:rFonts w:ascii="Times New Roman" w:hAnsi="Times New Roman" w:cs="Times New Roman"/>
          <w:sz w:val="24"/>
          <w:szCs w:val="24"/>
          <w:lang w:val="en-US"/>
        </w:rPr>
        <w:lastRenderedPageBreak/>
        <w:t xml:space="preserve">evaluated and approved by </w:t>
      </w:r>
      <w:r w:rsidR="009A6827">
        <w:rPr>
          <w:rFonts w:ascii="Times New Roman" w:hAnsi="Times New Roman" w:cs="Times New Roman"/>
          <w:sz w:val="24"/>
          <w:szCs w:val="24"/>
          <w:lang w:val="en-US"/>
        </w:rPr>
        <w:t>regulatory agencies such as the</w:t>
      </w:r>
      <w:r w:rsidRPr="008E0064">
        <w:rPr>
          <w:rFonts w:ascii="Times New Roman" w:hAnsi="Times New Roman" w:cs="Times New Roman"/>
          <w:sz w:val="24"/>
          <w:szCs w:val="24"/>
          <w:lang w:val="en-US"/>
        </w:rPr>
        <w:t xml:space="preserve"> FDA and USDA, as evidenced by numerous published research papers, indicating that they are safe for humans, animals, and the environment</w:t>
      </w:r>
      <w:r w:rsidR="00B91831" w:rsidRPr="008E0064">
        <w:rPr>
          <w:rFonts w:ascii="Times New Roman" w:hAnsi="Times New Roman" w:cs="Times New Roman"/>
          <w:sz w:val="24"/>
          <w:szCs w:val="24"/>
          <w:lang w:val="en-US"/>
        </w:rPr>
        <w:t xml:space="preserve"> </w:t>
      </w:r>
      <w:r w:rsidR="00181B18" w:rsidRPr="008E0064">
        <w:rPr>
          <w:rFonts w:ascii="Times New Roman" w:hAnsi="Times New Roman" w:cs="Times New Roman"/>
          <w:sz w:val="24"/>
          <w:szCs w:val="24"/>
          <w:lang w:val="en-US"/>
        </w:rPr>
        <w:t>(</w:t>
      </w:r>
      <w:r w:rsidR="00181B18" w:rsidRPr="008E0064">
        <w:rPr>
          <w:rFonts w:ascii="Times New Roman" w:hAnsi="Times New Roman" w:cs="Times New Roman"/>
          <w:lang w:val="en-US"/>
        </w:rPr>
        <w:t xml:space="preserve">Knox et al 2013; Areal, </w:t>
      </w:r>
      <w:proofErr w:type="spellStart"/>
      <w:r w:rsidR="00181B18" w:rsidRPr="008E0064">
        <w:rPr>
          <w:rFonts w:ascii="Times New Roman" w:hAnsi="Times New Roman" w:cs="Times New Roman"/>
          <w:lang w:val="en-US"/>
        </w:rPr>
        <w:t>Riesgo</w:t>
      </w:r>
      <w:proofErr w:type="spellEnd"/>
      <w:r w:rsidR="00181B18" w:rsidRPr="008E0064">
        <w:rPr>
          <w:rFonts w:ascii="Times New Roman" w:hAnsi="Times New Roman" w:cs="Times New Roman"/>
          <w:lang w:val="en-US"/>
        </w:rPr>
        <w:t xml:space="preserve">, and </w:t>
      </w:r>
      <w:proofErr w:type="spellStart"/>
      <w:r w:rsidR="00181B18" w:rsidRPr="008E0064">
        <w:rPr>
          <w:rFonts w:ascii="Times New Roman" w:hAnsi="Times New Roman" w:cs="Times New Roman"/>
          <w:lang w:val="en-US"/>
        </w:rPr>
        <w:t>Rodrãguez-Cerezo</w:t>
      </w:r>
      <w:proofErr w:type="spellEnd"/>
      <w:r w:rsidR="00181B18" w:rsidRPr="008E0064">
        <w:rPr>
          <w:rFonts w:ascii="Times New Roman" w:hAnsi="Times New Roman" w:cs="Times New Roman"/>
          <w:lang w:val="en-US"/>
        </w:rPr>
        <w:t xml:space="preserve"> 2013; </w:t>
      </w:r>
      <w:proofErr w:type="spellStart"/>
      <w:r w:rsidR="00181B18" w:rsidRPr="008E0064">
        <w:rPr>
          <w:rFonts w:ascii="Times New Roman" w:hAnsi="Times New Roman" w:cs="Times New Roman"/>
          <w:lang w:val="en-US"/>
        </w:rPr>
        <w:t>Séra</w:t>
      </w:r>
      <w:proofErr w:type="spellEnd"/>
      <w:r w:rsidR="00181B18" w:rsidRPr="008E0064">
        <w:rPr>
          <w:rFonts w:ascii="Times New Roman" w:hAnsi="Times New Roman" w:cs="Times New Roman"/>
          <w:lang w:val="en-US"/>
        </w:rPr>
        <w:t xml:space="preserve"> 2013</w:t>
      </w:r>
      <w:r w:rsidR="00181B18" w:rsidRPr="008E0064">
        <w:rPr>
          <w:rFonts w:ascii="Times New Roman" w:hAnsi="Times New Roman" w:cs="Times New Roman"/>
          <w:sz w:val="24"/>
          <w:szCs w:val="24"/>
          <w:lang w:val="en-US"/>
        </w:rPr>
        <w:t>)</w:t>
      </w:r>
      <w:r w:rsidRPr="008E0064">
        <w:rPr>
          <w:rFonts w:ascii="Times New Roman" w:hAnsi="Times New Roman" w:cs="Times New Roman"/>
          <w:sz w:val="24"/>
          <w:szCs w:val="24"/>
          <w:lang w:val="en-US"/>
        </w:rPr>
        <w:t>.</w:t>
      </w:r>
    </w:p>
    <w:p w14:paraId="4AEC199B" w14:textId="77777777" w:rsidR="009A6827" w:rsidRDefault="009A6827" w:rsidP="00033F08">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Contrary to safety assurance from regulatory agencies and research, some</w:t>
      </w:r>
      <w:r w:rsidR="00B91831" w:rsidRPr="008E0064">
        <w:rPr>
          <w:rFonts w:ascii="Times New Roman" w:hAnsi="Times New Roman" w:cs="Times New Roman"/>
          <w:sz w:val="24"/>
          <w:szCs w:val="24"/>
          <w:lang w:val="en-US"/>
        </w:rPr>
        <w:t xml:space="preserve"> </w:t>
      </w:r>
      <w:r>
        <w:rPr>
          <w:rFonts w:ascii="Times New Roman" w:hAnsi="Times New Roman" w:cs="Times New Roman"/>
          <w:sz w:val="24"/>
          <w:szCs w:val="24"/>
          <w:lang w:val="en-US"/>
        </w:rPr>
        <w:t>studies have</w:t>
      </w:r>
      <w:r w:rsidR="00B91831" w:rsidRPr="008E0064">
        <w:rPr>
          <w:rFonts w:ascii="Times New Roman" w:hAnsi="Times New Roman" w:cs="Times New Roman"/>
          <w:sz w:val="24"/>
          <w:szCs w:val="24"/>
          <w:lang w:val="en-US"/>
        </w:rPr>
        <w:t xml:space="preserve"> established that glyphosate interferes with a variety of metabolic processes in plants, animals, and other organisms that contain glyphosate residues. Glyphosate has been shown to disrupt the endocrine system, the balance of gut bacteria, and DNA, and is a known cause of cancer-causing mutations</w:t>
      </w:r>
      <w:r w:rsidR="00181B18" w:rsidRPr="008E0064">
        <w:rPr>
          <w:rFonts w:ascii="Times New Roman" w:hAnsi="Times New Roman" w:cs="Times New Roman"/>
          <w:sz w:val="24"/>
          <w:szCs w:val="24"/>
          <w:lang w:val="en-US"/>
        </w:rPr>
        <w:t xml:space="preserve"> (</w:t>
      </w:r>
      <w:r w:rsidR="00181B18" w:rsidRPr="008E0064">
        <w:rPr>
          <w:rFonts w:ascii="Times New Roman" w:hAnsi="Times New Roman" w:cs="Times New Roman"/>
          <w:lang w:val="en-US"/>
        </w:rPr>
        <w:t>Bohn et al 2014; Swanson et al 2014</w:t>
      </w:r>
      <w:r w:rsidR="00181B18" w:rsidRPr="008E0064">
        <w:rPr>
          <w:rFonts w:ascii="Times New Roman" w:hAnsi="Times New Roman" w:cs="Times New Roman"/>
          <w:sz w:val="24"/>
          <w:szCs w:val="24"/>
          <w:lang w:val="en-US"/>
        </w:rPr>
        <w:t>)</w:t>
      </w:r>
      <w:r w:rsidR="00B91831" w:rsidRPr="008E0064">
        <w:rPr>
          <w:rFonts w:ascii="Times New Roman" w:hAnsi="Times New Roman" w:cs="Times New Roman"/>
          <w:sz w:val="24"/>
          <w:szCs w:val="24"/>
          <w:lang w:val="en-US"/>
        </w:rPr>
        <w:t>.</w:t>
      </w:r>
      <w:r w:rsidR="00181B18" w:rsidRPr="008E0064">
        <w:rPr>
          <w:rFonts w:ascii="Times New Roman" w:hAnsi="Times New Roman" w:cs="Times New Roman"/>
          <w:sz w:val="24"/>
          <w:szCs w:val="24"/>
          <w:lang w:val="en-US"/>
        </w:rPr>
        <w:t xml:space="preserve"> </w:t>
      </w:r>
      <w:r w:rsidR="00B91831" w:rsidRPr="008E0064">
        <w:rPr>
          <w:rFonts w:ascii="Times New Roman" w:hAnsi="Times New Roman" w:cs="Times New Roman"/>
          <w:sz w:val="24"/>
          <w:szCs w:val="24"/>
          <w:lang w:val="en-US"/>
        </w:rPr>
        <w:t xml:space="preserve">Additionally, the WHO's International Agency for Research on Cancer recently concluded that glyphosate is "probably carcinogenic to humans." </w:t>
      </w:r>
    </w:p>
    <w:p w14:paraId="078FEC10" w14:textId="516C830B" w:rsidR="00012F5B" w:rsidRPr="008E0064" w:rsidRDefault="00B91831" w:rsidP="00033F08">
      <w:pPr>
        <w:spacing w:line="480" w:lineRule="auto"/>
        <w:jc w:val="both"/>
        <w:rPr>
          <w:rFonts w:ascii="Times New Roman" w:hAnsi="Times New Roman" w:cs="Times New Roman"/>
          <w:sz w:val="24"/>
          <w:szCs w:val="24"/>
          <w:lang w:val="en-US"/>
        </w:rPr>
      </w:pPr>
      <w:r w:rsidRPr="008E0064">
        <w:rPr>
          <w:rFonts w:ascii="Times New Roman" w:hAnsi="Times New Roman" w:cs="Times New Roman"/>
          <w:sz w:val="24"/>
          <w:szCs w:val="24"/>
          <w:lang w:val="en-US"/>
        </w:rPr>
        <w:t xml:space="preserve">In accordance with this, a group of highly regarded scientists </w:t>
      </w:r>
      <w:r w:rsidR="00181B18" w:rsidRPr="008E0064">
        <w:rPr>
          <w:rFonts w:ascii="Times New Roman" w:hAnsi="Times New Roman" w:cs="Times New Roman"/>
          <w:sz w:val="24"/>
          <w:szCs w:val="24"/>
          <w:lang w:val="en-US"/>
        </w:rPr>
        <w:t>(</w:t>
      </w:r>
      <w:r w:rsidR="00181B18" w:rsidRPr="008E0064">
        <w:rPr>
          <w:rFonts w:ascii="Times New Roman" w:hAnsi="Times New Roman" w:cs="Times New Roman"/>
          <w:lang w:val="en-US"/>
        </w:rPr>
        <w:t>Myers et al 2016</w:t>
      </w:r>
      <w:r w:rsidR="00181B18" w:rsidRPr="008E0064">
        <w:rPr>
          <w:rFonts w:ascii="Times New Roman" w:hAnsi="Times New Roman" w:cs="Times New Roman"/>
          <w:sz w:val="24"/>
          <w:szCs w:val="24"/>
          <w:lang w:val="en-US"/>
        </w:rPr>
        <w:t>)</w:t>
      </w:r>
      <w:r w:rsidR="000137F3" w:rsidRPr="008E0064">
        <w:rPr>
          <w:rFonts w:ascii="Times New Roman" w:hAnsi="Times New Roman" w:cs="Times New Roman"/>
          <w:sz w:val="24"/>
          <w:szCs w:val="24"/>
          <w:lang w:val="en-US"/>
        </w:rPr>
        <w:t xml:space="preserve"> </w:t>
      </w:r>
      <w:r w:rsidRPr="008E0064">
        <w:rPr>
          <w:rFonts w:ascii="Times New Roman" w:hAnsi="Times New Roman" w:cs="Times New Roman"/>
          <w:sz w:val="24"/>
          <w:szCs w:val="24"/>
          <w:lang w:val="en-US"/>
        </w:rPr>
        <w:t xml:space="preserve">issued a caution statement regarding emerging science concerning the safety and use of GBH, its mechanisms of action, toxicity in laboratory animals, and epidemiological studies, while </w:t>
      </w:r>
      <w:r w:rsidR="00181B18" w:rsidRPr="008E0064">
        <w:rPr>
          <w:rFonts w:ascii="Times New Roman" w:hAnsi="Times New Roman" w:cs="Times New Roman"/>
          <w:sz w:val="24"/>
          <w:szCs w:val="24"/>
          <w:lang w:val="en-US"/>
        </w:rPr>
        <w:t>considering</w:t>
      </w:r>
      <w:r w:rsidRPr="008E0064">
        <w:rPr>
          <w:rFonts w:ascii="Times New Roman" w:hAnsi="Times New Roman" w:cs="Times New Roman"/>
          <w:sz w:val="24"/>
          <w:szCs w:val="24"/>
          <w:lang w:val="en-US"/>
        </w:rPr>
        <w:t xml:space="preserve"> the derivation of current human safety standards. </w:t>
      </w:r>
      <w:r w:rsidR="00F40C48" w:rsidRPr="008E0064">
        <w:rPr>
          <w:rFonts w:ascii="Times New Roman" w:hAnsi="Times New Roman" w:cs="Times New Roman"/>
          <w:sz w:val="24"/>
          <w:szCs w:val="24"/>
          <w:lang w:val="en-US"/>
        </w:rPr>
        <w:t xml:space="preserve">In 2018, a California court determined and later upheld that Monsanto failed to disclose potential cancer risks associated with its Roundup herbicide and awarded claims that Roundup caused cancer </w:t>
      </w:r>
      <w:r w:rsidR="00181B18" w:rsidRPr="008E0064">
        <w:rPr>
          <w:rFonts w:ascii="Times New Roman" w:hAnsi="Times New Roman" w:cs="Times New Roman"/>
          <w:sz w:val="24"/>
          <w:szCs w:val="24"/>
          <w:lang w:val="en-US"/>
        </w:rPr>
        <w:t>(</w:t>
      </w:r>
      <w:r w:rsidR="00181B18" w:rsidRPr="008E0064">
        <w:rPr>
          <w:rFonts w:ascii="Times New Roman" w:hAnsi="Times New Roman" w:cs="Times New Roman"/>
          <w:lang w:val="en-US"/>
        </w:rPr>
        <w:t>Glenna and Bruce 2021</w:t>
      </w:r>
      <w:r w:rsidR="00181B18" w:rsidRPr="008E0064">
        <w:rPr>
          <w:rFonts w:ascii="Times New Roman" w:hAnsi="Times New Roman" w:cs="Times New Roman"/>
          <w:sz w:val="24"/>
          <w:szCs w:val="24"/>
          <w:lang w:val="en-US"/>
        </w:rPr>
        <w:t>)</w:t>
      </w:r>
      <w:r w:rsidR="00F40C48" w:rsidRPr="008E0064">
        <w:rPr>
          <w:rFonts w:ascii="Times New Roman" w:hAnsi="Times New Roman" w:cs="Times New Roman"/>
          <w:sz w:val="24"/>
          <w:szCs w:val="24"/>
          <w:lang w:val="en-US"/>
        </w:rPr>
        <w:t>.</w:t>
      </w:r>
      <w:r w:rsidR="000402B8" w:rsidRPr="008E0064">
        <w:rPr>
          <w:rFonts w:ascii="Times New Roman" w:hAnsi="Times New Roman" w:cs="Times New Roman"/>
          <w:sz w:val="24"/>
          <w:szCs w:val="24"/>
          <w:lang w:val="en-US"/>
        </w:rPr>
        <w:t xml:space="preserve"> </w:t>
      </w:r>
    </w:p>
    <w:p w14:paraId="5A0425E8" w14:textId="77777777" w:rsidR="009A6827" w:rsidRDefault="00012F5B" w:rsidP="00033F08">
      <w:pPr>
        <w:spacing w:line="480" w:lineRule="auto"/>
        <w:jc w:val="both"/>
        <w:rPr>
          <w:rFonts w:ascii="Times New Roman" w:hAnsi="Times New Roman" w:cs="Times New Roman"/>
          <w:sz w:val="24"/>
          <w:szCs w:val="24"/>
          <w:lang w:val="en-US"/>
        </w:rPr>
      </w:pPr>
      <w:r w:rsidRPr="008E0064">
        <w:rPr>
          <w:rFonts w:ascii="Times New Roman" w:hAnsi="Times New Roman" w:cs="Times New Roman"/>
          <w:sz w:val="24"/>
          <w:szCs w:val="24"/>
          <w:lang w:val="en-US"/>
        </w:rPr>
        <w:t xml:space="preserve">It is therefore necessary to examine why research on the effect of glyphosate on non-target organisms has been inconclusive and why science-based policies for the use and regulation of glyphosate have not developed into a key driver. </w:t>
      </w:r>
      <w:r w:rsidR="009A6827">
        <w:rPr>
          <w:rFonts w:ascii="Times New Roman" w:hAnsi="Times New Roman" w:cs="Times New Roman"/>
          <w:sz w:val="24"/>
          <w:szCs w:val="24"/>
          <w:lang w:val="en-US"/>
        </w:rPr>
        <w:t>In doing so, c</w:t>
      </w:r>
      <w:r w:rsidRPr="008E0064">
        <w:rPr>
          <w:rFonts w:ascii="Times New Roman" w:hAnsi="Times New Roman" w:cs="Times New Roman"/>
          <w:sz w:val="24"/>
          <w:szCs w:val="24"/>
          <w:lang w:val="en-US"/>
        </w:rPr>
        <w:t xml:space="preserve">onsideration should be given to factors such as the organization from which the research was conducted, </w:t>
      </w:r>
      <w:r w:rsidR="009A6827">
        <w:rPr>
          <w:rFonts w:ascii="Times New Roman" w:hAnsi="Times New Roman" w:cs="Times New Roman"/>
          <w:sz w:val="24"/>
          <w:szCs w:val="24"/>
          <w:lang w:val="en-US"/>
        </w:rPr>
        <w:t xml:space="preserve">funding organizations, </w:t>
      </w:r>
      <w:r w:rsidRPr="008E0064">
        <w:rPr>
          <w:rFonts w:ascii="Times New Roman" w:hAnsi="Times New Roman" w:cs="Times New Roman"/>
          <w:sz w:val="24"/>
          <w:szCs w:val="24"/>
          <w:lang w:val="en-US"/>
        </w:rPr>
        <w:t xml:space="preserve">the journal in which it was published, and the country in which the experiment was conducted. For </w:t>
      </w:r>
      <w:r w:rsidR="009A6827">
        <w:rPr>
          <w:rFonts w:ascii="Times New Roman" w:hAnsi="Times New Roman" w:cs="Times New Roman"/>
          <w:sz w:val="24"/>
          <w:szCs w:val="24"/>
          <w:lang w:val="en-US"/>
        </w:rPr>
        <w:t>instance</w:t>
      </w:r>
      <w:r w:rsidRPr="008E0064">
        <w:rPr>
          <w:rFonts w:ascii="Times New Roman" w:hAnsi="Times New Roman" w:cs="Times New Roman"/>
          <w:sz w:val="24"/>
          <w:szCs w:val="24"/>
          <w:lang w:val="en-US"/>
        </w:rPr>
        <w:t>, it has been demonstrated that public and private science organizations pursue distinct goals and incentives when conducting research, which can have an effect on the outcome</w:t>
      </w:r>
      <w:r w:rsidR="00181B18" w:rsidRPr="008E0064">
        <w:rPr>
          <w:rFonts w:ascii="Times New Roman" w:hAnsi="Times New Roman" w:cs="Times New Roman"/>
          <w:sz w:val="24"/>
          <w:szCs w:val="24"/>
          <w:lang w:val="en-US"/>
        </w:rPr>
        <w:t xml:space="preserve"> (</w:t>
      </w:r>
      <w:r w:rsidR="00181B18" w:rsidRPr="008E0064">
        <w:rPr>
          <w:rFonts w:ascii="Times New Roman" w:hAnsi="Times New Roman" w:cs="Times New Roman"/>
          <w:lang w:val="en-US"/>
        </w:rPr>
        <w:t>Glenna and Bruce 2021</w:t>
      </w:r>
      <w:r w:rsidR="00181B18" w:rsidRPr="008E0064">
        <w:rPr>
          <w:rFonts w:ascii="Times New Roman" w:hAnsi="Times New Roman" w:cs="Times New Roman"/>
          <w:sz w:val="24"/>
          <w:szCs w:val="24"/>
          <w:lang w:val="en-US"/>
        </w:rPr>
        <w:t>)</w:t>
      </w:r>
      <w:r w:rsidR="000402B8" w:rsidRPr="008E0064">
        <w:rPr>
          <w:rFonts w:ascii="Times New Roman" w:hAnsi="Times New Roman" w:cs="Times New Roman"/>
          <w:sz w:val="24"/>
          <w:szCs w:val="24"/>
          <w:lang w:val="en-US"/>
        </w:rPr>
        <w:t xml:space="preserve">. </w:t>
      </w:r>
    </w:p>
    <w:p w14:paraId="3D5D2666" w14:textId="0CCC9C51" w:rsidR="000137F3" w:rsidRPr="008E0064" w:rsidRDefault="00012F5B" w:rsidP="00033F08">
      <w:pPr>
        <w:spacing w:line="480" w:lineRule="auto"/>
        <w:jc w:val="both"/>
        <w:rPr>
          <w:rFonts w:ascii="Times New Roman" w:hAnsi="Times New Roman" w:cs="Times New Roman"/>
          <w:sz w:val="24"/>
          <w:szCs w:val="24"/>
          <w:lang w:val="en-US"/>
        </w:rPr>
      </w:pPr>
      <w:r w:rsidRPr="008E0064">
        <w:rPr>
          <w:rFonts w:ascii="Times New Roman" w:hAnsi="Times New Roman" w:cs="Times New Roman"/>
          <w:sz w:val="24"/>
          <w:szCs w:val="24"/>
          <w:lang w:val="en-US"/>
        </w:rPr>
        <w:lastRenderedPageBreak/>
        <w:t>This</w:t>
      </w:r>
      <w:r w:rsidR="000137F3" w:rsidRPr="008E0064">
        <w:rPr>
          <w:rFonts w:ascii="Times New Roman" w:hAnsi="Times New Roman" w:cs="Times New Roman"/>
          <w:sz w:val="24"/>
          <w:szCs w:val="24"/>
          <w:lang w:val="en-US"/>
        </w:rPr>
        <w:t xml:space="preserve"> study </w:t>
      </w:r>
      <w:r w:rsidRPr="008E0064">
        <w:rPr>
          <w:rFonts w:ascii="Times New Roman" w:hAnsi="Times New Roman" w:cs="Times New Roman"/>
          <w:sz w:val="24"/>
          <w:szCs w:val="24"/>
          <w:lang w:val="en-US"/>
        </w:rPr>
        <w:t xml:space="preserve">seeks </w:t>
      </w:r>
      <w:r w:rsidR="000137F3" w:rsidRPr="008E0064">
        <w:rPr>
          <w:rFonts w:ascii="Times New Roman" w:hAnsi="Times New Roman" w:cs="Times New Roman"/>
          <w:sz w:val="24"/>
          <w:szCs w:val="24"/>
          <w:lang w:val="en-US"/>
        </w:rPr>
        <w:t xml:space="preserve">to identify the </w:t>
      </w:r>
      <w:bookmarkStart w:id="0" w:name="_Hlk80086997"/>
      <w:r w:rsidR="000137F3" w:rsidRPr="008E0064">
        <w:rPr>
          <w:rFonts w:ascii="Times New Roman" w:hAnsi="Times New Roman" w:cs="Times New Roman"/>
          <w:sz w:val="24"/>
          <w:szCs w:val="24"/>
          <w:lang w:val="en-US"/>
        </w:rPr>
        <w:t>determinants of the outcomes of scientific research to date regarding the potentially adverse impacts of GBH on human and animal health and the environment</w:t>
      </w:r>
      <w:bookmarkEnd w:id="0"/>
      <w:r w:rsidR="000137F3" w:rsidRPr="008E0064">
        <w:rPr>
          <w:rFonts w:ascii="Times New Roman" w:hAnsi="Times New Roman" w:cs="Times New Roman"/>
          <w:sz w:val="24"/>
          <w:szCs w:val="24"/>
          <w:lang w:val="en-US"/>
        </w:rPr>
        <w:t xml:space="preserve">. </w:t>
      </w:r>
      <w:r w:rsidRPr="008E0064">
        <w:rPr>
          <w:rFonts w:ascii="Times New Roman" w:hAnsi="Times New Roman" w:cs="Times New Roman"/>
          <w:sz w:val="24"/>
          <w:szCs w:val="24"/>
          <w:lang w:val="en-US"/>
        </w:rPr>
        <w:t xml:space="preserve">Understanding the reason </w:t>
      </w:r>
      <w:r w:rsidR="000137F3" w:rsidRPr="008E0064">
        <w:rPr>
          <w:rFonts w:ascii="Times New Roman" w:hAnsi="Times New Roman" w:cs="Times New Roman"/>
          <w:sz w:val="24"/>
          <w:szCs w:val="24"/>
          <w:lang w:val="en-US"/>
        </w:rPr>
        <w:t>why science on this subject has been inconclusive</w:t>
      </w:r>
      <w:r w:rsidR="009A6827">
        <w:rPr>
          <w:rFonts w:ascii="Times New Roman" w:hAnsi="Times New Roman" w:cs="Times New Roman"/>
          <w:sz w:val="24"/>
          <w:szCs w:val="24"/>
          <w:lang w:val="en-US"/>
        </w:rPr>
        <w:t>,</w:t>
      </w:r>
      <w:r w:rsidRPr="008E0064">
        <w:rPr>
          <w:rFonts w:ascii="Times New Roman" w:hAnsi="Times New Roman" w:cs="Times New Roman"/>
          <w:sz w:val="24"/>
          <w:szCs w:val="24"/>
          <w:lang w:val="en-US"/>
        </w:rPr>
        <w:t xml:space="preserve"> </w:t>
      </w:r>
      <w:r w:rsidR="000137F3" w:rsidRPr="008E0064">
        <w:rPr>
          <w:rFonts w:ascii="Times New Roman" w:hAnsi="Times New Roman" w:cs="Times New Roman"/>
          <w:sz w:val="24"/>
          <w:szCs w:val="24"/>
          <w:lang w:val="en-US"/>
        </w:rPr>
        <w:t xml:space="preserve">and was not able to establish itself </w:t>
      </w:r>
      <w:r w:rsidR="009A6827">
        <w:rPr>
          <w:rFonts w:ascii="Times New Roman" w:hAnsi="Times New Roman" w:cs="Times New Roman"/>
          <w:sz w:val="24"/>
          <w:szCs w:val="24"/>
          <w:lang w:val="en-US"/>
        </w:rPr>
        <w:t xml:space="preserve">(science) </w:t>
      </w:r>
      <w:r w:rsidR="000137F3" w:rsidRPr="008E0064">
        <w:rPr>
          <w:rFonts w:ascii="Times New Roman" w:hAnsi="Times New Roman" w:cs="Times New Roman"/>
          <w:sz w:val="24"/>
          <w:szCs w:val="24"/>
          <w:lang w:val="en-US"/>
        </w:rPr>
        <w:t xml:space="preserve">as the primary driver in formulating science-based policies </w:t>
      </w:r>
      <w:r w:rsidRPr="008E0064">
        <w:rPr>
          <w:rFonts w:ascii="Times New Roman" w:hAnsi="Times New Roman" w:cs="Times New Roman"/>
          <w:sz w:val="24"/>
          <w:szCs w:val="24"/>
          <w:lang w:val="en-US"/>
        </w:rPr>
        <w:t>and regulations is important for not only glyphosate regulation but also other subjects with divergent scien</w:t>
      </w:r>
      <w:r w:rsidR="009A6827">
        <w:rPr>
          <w:rFonts w:ascii="Times New Roman" w:hAnsi="Times New Roman" w:cs="Times New Roman"/>
          <w:sz w:val="24"/>
          <w:szCs w:val="24"/>
          <w:lang w:val="en-US"/>
        </w:rPr>
        <w:t>tific</w:t>
      </w:r>
      <w:r w:rsidRPr="008E0064">
        <w:rPr>
          <w:rFonts w:ascii="Times New Roman" w:hAnsi="Times New Roman" w:cs="Times New Roman"/>
          <w:sz w:val="24"/>
          <w:szCs w:val="24"/>
          <w:lang w:val="en-US"/>
        </w:rPr>
        <w:t xml:space="preserve"> backed findings. </w:t>
      </w:r>
    </w:p>
    <w:p w14:paraId="19F70399" w14:textId="12E40A68" w:rsidR="00070FB5" w:rsidRPr="008E0064" w:rsidRDefault="009009D9" w:rsidP="00033F08">
      <w:pPr>
        <w:spacing w:line="480" w:lineRule="auto"/>
        <w:jc w:val="both"/>
        <w:rPr>
          <w:rFonts w:ascii="Times New Roman" w:hAnsi="Times New Roman" w:cs="Times New Roman"/>
          <w:b/>
          <w:sz w:val="24"/>
          <w:szCs w:val="24"/>
          <w:lang w:val="en-US"/>
        </w:rPr>
      </w:pPr>
      <w:r w:rsidRPr="008E0064">
        <w:rPr>
          <w:rFonts w:ascii="Times New Roman" w:hAnsi="Times New Roman" w:cs="Times New Roman"/>
          <w:b/>
          <w:sz w:val="24"/>
          <w:szCs w:val="24"/>
          <w:lang w:val="en-US"/>
        </w:rPr>
        <w:t>Methods</w:t>
      </w:r>
    </w:p>
    <w:p w14:paraId="1F53BB17" w14:textId="77777777" w:rsidR="009A6827" w:rsidRDefault="00FD059F" w:rsidP="00033F08">
      <w:pPr>
        <w:spacing w:line="480" w:lineRule="auto"/>
        <w:jc w:val="both"/>
        <w:rPr>
          <w:rFonts w:ascii="Times New Roman" w:hAnsi="Times New Roman" w:cs="Times New Roman"/>
          <w:sz w:val="24"/>
          <w:szCs w:val="24"/>
          <w:lang w:val="en-US"/>
        </w:rPr>
      </w:pPr>
      <w:r w:rsidRPr="008E0064">
        <w:rPr>
          <w:rFonts w:ascii="Times New Roman" w:hAnsi="Times New Roman" w:cs="Times New Roman"/>
          <w:sz w:val="24"/>
          <w:szCs w:val="24"/>
          <w:lang w:val="en-US"/>
        </w:rPr>
        <w:t xml:space="preserve">To ascertain the factors that influence the </w:t>
      </w:r>
      <w:r w:rsidR="009A6827">
        <w:rPr>
          <w:rFonts w:ascii="Times New Roman" w:hAnsi="Times New Roman" w:cs="Times New Roman"/>
          <w:sz w:val="24"/>
          <w:szCs w:val="24"/>
          <w:lang w:val="en-US"/>
        </w:rPr>
        <w:t>outcome</w:t>
      </w:r>
      <w:r w:rsidRPr="008E0064">
        <w:rPr>
          <w:rFonts w:ascii="Times New Roman" w:hAnsi="Times New Roman" w:cs="Times New Roman"/>
          <w:sz w:val="24"/>
          <w:szCs w:val="24"/>
          <w:lang w:val="en-US"/>
        </w:rPr>
        <w:t xml:space="preserve"> of scientific research on the potential adverse effects of GBH on human and animal health and the environment, we conducted a systematic review of published studies on the effects of glyphosate-based herbicides on humans, animals, the environment, and non-target organisms. The </w:t>
      </w:r>
      <w:proofErr w:type="spellStart"/>
      <w:r w:rsidRPr="008E0064">
        <w:rPr>
          <w:rFonts w:ascii="Times New Roman" w:hAnsi="Times New Roman" w:cs="Times New Roman"/>
          <w:sz w:val="24"/>
          <w:szCs w:val="24"/>
          <w:lang w:val="en-US"/>
        </w:rPr>
        <w:t>CrossRef</w:t>
      </w:r>
      <w:proofErr w:type="spellEnd"/>
      <w:r w:rsidRPr="008E0064">
        <w:rPr>
          <w:rFonts w:ascii="Times New Roman" w:hAnsi="Times New Roman" w:cs="Times New Roman"/>
          <w:sz w:val="24"/>
          <w:szCs w:val="24"/>
          <w:lang w:val="en-US"/>
        </w:rPr>
        <w:t xml:space="preserve"> application programming interface (API) was used in conjunction with the </w:t>
      </w:r>
      <w:proofErr w:type="spellStart"/>
      <w:r w:rsidRPr="008E0064">
        <w:rPr>
          <w:rFonts w:ascii="Times New Roman" w:hAnsi="Times New Roman" w:cs="Times New Roman"/>
          <w:sz w:val="24"/>
          <w:szCs w:val="24"/>
          <w:lang w:val="en-US"/>
        </w:rPr>
        <w:t>Habenero</w:t>
      </w:r>
      <w:proofErr w:type="spellEnd"/>
      <w:r w:rsidRPr="008E0064">
        <w:rPr>
          <w:rFonts w:ascii="Times New Roman" w:hAnsi="Times New Roman" w:cs="Times New Roman"/>
          <w:sz w:val="24"/>
          <w:szCs w:val="24"/>
          <w:lang w:val="en-US"/>
        </w:rPr>
        <w:t xml:space="preserve"> module in Python to search for the term "Glyphosate," followed by the selection of a subset of data that included only entries containing the terms "daily intake", "dose", "risk", "endocrine", "AMPA", "A.M.P.A.", "toxicology", "cancer", "health", "human", and "carcinogen". </w:t>
      </w:r>
    </w:p>
    <w:p w14:paraId="74C949FD" w14:textId="3D18614D" w:rsidR="00FD059F" w:rsidRPr="008E0064" w:rsidRDefault="00FD059F" w:rsidP="00033F08">
      <w:pPr>
        <w:spacing w:line="480" w:lineRule="auto"/>
        <w:jc w:val="both"/>
        <w:rPr>
          <w:rFonts w:ascii="Times New Roman" w:hAnsi="Times New Roman" w:cs="Times New Roman"/>
          <w:sz w:val="24"/>
          <w:szCs w:val="24"/>
          <w:lang w:val="en-US"/>
        </w:rPr>
      </w:pPr>
      <w:r w:rsidRPr="008E0064">
        <w:rPr>
          <w:rFonts w:ascii="Times New Roman" w:hAnsi="Times New Roman" w:cs="Times New Roman"/>
          <w:sz w:val="24"/>
          <w:szCs w:val="24"/>
          <w:lang w:val="en-US"/>
        </w:rPr>
        <w:t xml:space="preserve">Following the search process, a total of 1,523 entries (studies) were generated between 1987 and 2021, of which 503 were deemed appropriate or relevant for inclusion in the meta-analysis. Excluded searches were those that were not original experiments; additionally, studies that did not examine the effect or impact of glyphosate on humans, the environment, animals, or non-target organisms were excluded. </w:t>
      </w:r>
      <w:r w:rsidR="009A6827">
        <w:rPr>
          <w:rFonts w:ascii="Times New Roman" w:hAnsi="Times New Roman" w:cs="Times New Roman"/>
          <w:sz w:val="24"/>
          <w:szCs w:val="24"/>
          <w:lang w:val="en-US"/>
        </w:rPr>
        <w:t>T</w:t>
      </w:r>
      <w:r w:rsidRPr="008E0064">
        <w:rPr>
          <w:rFonts w:ascii="Times New Roman" w:hAnsi="Times New Roman" w:cs="Times New Roman"/>
          <w:sz w:val="24"/>
          <w:szCs w:val="24"/>
          <w:lang w:val="en-US"/>
        </w:rPr>
        <w:t xml:space="preserve">he meta-analysis </w:t>
      </w:r>
      <w:r w:rsidR="009A6827">
        <w:rPr>
          <w:rFonts w:ascii="Times New Roman" w:hAnsi="Times New Roman" w:cs="Times New Roman"/>
          <w:sz w:val="24"/>
          <w:szCs w:val="24"/>
          <w:lang w:val="en-US"/>
        </w:rPr>
        <w:t xml:space="preserve">also </w:t>
      </w:r>
      <w:r w:rsidRPr="008E0064">
        <w:rPr>
          <w:rFonts w:ascii="Times New Roman" w:hAnsi="Times New Roman" w:cs="Times New Roman"/>
          <w:sz w:val="24"/>
          <w:szCs w:val="24"/>
          <w:lang w:val="en-US"/>
        </w:rPr>
        <w:t>excluded articles that were comments, responses to editors and authors of original experiments, articles on glyphosate regulatory and legal concerns, and articles reporting on cases of accidental and intentional glyphosate ingestion in medical journals.</w:t>
      </w:r>
    </w:p>
    <w:p w14:paraId="66FBC602" w14:textId="77777777" w:rsidR="00170CB1" w:rsidRDefault="00E85EF6" w:rsidP="00033F08">
      <w:pPr>
        <w:spacing w:line="480" w:lineRule="auto"/>
        <w:jc w:val="both"/>
        <w:rPr>
          <w:rFonts w:ascii="Times New Roman" w:hAnsi="Times New Roman" w:cs="Times New Roman"/>
          <w:sz w:val="24"/>
          <w:szCs w:val="24"/>
          <w:lang w:val="en-US"/>
        </w:rPr>
      </w:pPr>
      <w:r w:rsidRPr="008E0064">
        <w:rPr>
          <w:rFonts w:ascii="Times New Roman" w:hAnsi="Times New Roman" w:cs="Times New Roman"/>
          <w:sz w:val="24"/>
          <w:szCs w:val="24"/>
          <w:lang w:val="en-US"/>
        </w:rPr>
        <w:lastRenderedPageBreak/>
        <w:t xml:space="preserve">This study applies a methodology that, to our knowledge, has not been adopted in conducting </w:t>
      </w:r>
      <w:r w:rsidR="009A6827">
        <w:rPr>
          <w:rFonts w:ascii="Times New Roman" w:hAnsi="Times New Roman" w:cs="Times New Roman"/>
          <w:sz w:val="24"/>
          <w:szCs w:val="24"/>
          <w:lang w:val="en-US"/>
        </w:rPr>
        <w:t xml:space="preserve">meta-analysis, </w:t>
      </w:r>
      <w:r w:rsidRPr="008E0064">
        <w:rPr>
          <w:rFonts w:ascii="Times New Roman" w:hAnsi="Times New Roman" w:cs="Times New Roman"/>
          <w:sz w:val="24"/>
          <w:szCs w:val="24"/>
          <w:lang w:val="en-US"/>
        </w:rPr>
        <w:t xml:space="preserve">reviews and analyses of this area of research, the Directed Acyclic Graphs (DAGs). The DAG approach has not caught on in the field of </w:t>
      </w:r>
      <w:r w:rsidR="009A6827">
        <w:rPr>
          <w:rFonts w:ascii="Times New Roman" w:hAnsi="Times New Roman" w:cs="Times New Roman"/>
          <w:sz w:val="24"/>
          <w:szCs w:val="24"/>
          <w:lang w:val="en-US"/>
        </w:rPr>
        <w:t xml:space="preserve">social sciences, </w:t>
      </w:r>
      <w:r w:rsidRPr="008E0064">
        <w:rPr>
          <w:rFonts w:ascii="Times New Roman" w:hAnsi="Times New Roman" w:cs="Times New Roman"/>
          <w:sz w:val="24"/>
          <w:szCs w:val="24"/>
          <w:lang w:val="en-US"/>
        </w:rPr>
        <w:t>economics</w:t>
      </w:r>
      <w:r w:rsidR="009A6827">
        <w:rPr>
          <w:rFonts w:ascii="Times New Roman" w:hAnsi="Times New Roman" w:cs="Times New Roman"/>
          <w:sz w:val="24"/>
          <w:szCs w:val="24"/>
          <w:lang w:val="en-US"/>
        </w:rPr>
        <w:t xml:space="preserve"> and</w:t>
      </w:r>
      <w:r w:rsidRPr="008E0064">
        <w:rPr>
          <w:rFonts w:ascii="Times New Roman" w:hAnsi="Times New Roman" w:cs="Times New Roman"/>
          <w:sz w:val="24"/>
          <w:szCs w:val="24"/>
          <w:lang w:val="en-US"/>
        </w:rPr>
        <w:t xml:space="preserve"> agricultural economics to be specific even though it presents an avenue to capture critical assumptions that demonstrate the path </w:t>
      </w:r>
      <w:r w:rsidR="009A6827">
        <w:rPr>
          <w:rFonts w:ascii="Times New Roman" w:hAnsi="Times New Roman" w:cs="Times New Roman"/>
          <w:sz w:val="24"/>
          <w:szCs w:val="24"/>
          <w:lang w:val="en-US"/>
        </w:rPr>
        <w:t>a</w:t>
      </w:r>
      <w:r w:rsidRPr="008E0064">
        <w:rPr>
          <w:rFonts w:ascii="Times New Roman" w:hAnsi="Times New Roman" w:cs="Times New Roman"/>
          <w:sz w:val="24"/>
          <w:szCs w:val="24"/>
          <w:lang w:val="en-US"/>
        </w:rPr>
        <w:t xml:space="preserve"> researcher perceived the causal relationships (</w:t>
      </w:r>
      <w:proofErr w:type="spellStart"/>
      <w:r w:rsidRPr="008E0064">
        <w:rPr>
          <w:rFonts w:ascii="Times New Roman" w:hAnsi="Times New Roman" w:cs="Times New Roman"/>
          <w:sz w:val="24"/>
          <w:szCs w:val="24"/>
          <w:lang w:val="en-US"/>
        </w:rPr>
        <w:t>Imbens</w:t>
      </w:r>
      <w:proofErr w:type="spellEnd"/>
      <w:r w:rsidRPr="008E0064">
        <w:rPr>
          <w:rFonts w:ascii="Times New Roman" w:hAnsi="Times New Roman" w:cs="Times New Roman"/>
          <w:sz w:val="24"/>
          <w:szCs w:val="24"/>
          <w:lang w:val="en-US"/>
        </w:rPr>
        <w:t xml:space="preserve"> 2020). A directed acyclic graph (DAG) is </w:t>
      </w:r>
      <w:r w:rsidR="00170CB1">
        <w:rPr>
          <w:rFonts w:ascii="Times New Roman" w:hAnsi="Times New Roman" w:cs="Times New Roman"/>
          <w:sz w:val="24"/>
          <w:szCs w:val="24"/>
          <w:lang w:val="en-US"/>
        </w:rPr>
        <w:t xml:space="preserve">a </w:t>
      </w:r>
      <w:r w:rsidR="002056E6" w:rsidRPr="008E0064">
        <w:rPr>
          <w:rFonts w:ascii="Times New Roman" w:hAnsi="Times New Roman" w:cs="Times New Roman"/>
          <w:sz w:val="24"/>
          <w:szCs w:val="24"/>
          <w:lang w:val="en-US"/>
        </w:rPr>
        <w:t xml:space="preserve">conceptual representation of a series of activities or factors employed to </w:t>
      </w:r>
      <w:r w:rsidRPr="008E0064">
        <w:rPr>
          <w:rFonts w:ascii="Times New Roman" w:hAnsi="Times New Roman" w:cs="Times New Roman"/>
          <w:sz w:val="24"/>
          <w:szCs w:val="24"/>
          <w:lang w:val="en-US"/>
        </w:rPr>
        <w:t>determin</w:t>
      </w:r>
      <w:r w:rsidR="002056E6" w:rsidRPr="008E0064">
        <w:rPr>
          <w:rFonts w:ascii="Times New Roman" w:hAnsi="Times New Roman" w:cs="Times New Roman"/>
          <w:sz w:val="24"/>
          <w:szCs w:val="24"/>
          <w:lang w:val="en-US"/>
        </w:rPr>
        <w:t>e</w:t>
      </w:r>
      <w:r w:rsidRPr="008E0064">
        <w:rPr>
          <w:rFonts w:ascii="Times New Roman" w:hAnsi="Times New Roman" w:cs="Times New Roman"/>
          <w:sz w:val="24"/>
          <w:szCs w:val="24"/>
          <w:lang w:val="en-US"/>
        </w:rPr>
        <w:t xml:space="preserve"> contemporaneous causal relationships between variables. </w:t>
      </w:r>
    </w:p>
    <w:p w14:paraId="03A1FFDF" w14:textId="5CD0C929" w:rsidR="00E85EF6" w:rsidRPr="008E0064" w:rsidRDefault="00E85EF6" w:rsidP="00033F08">
      <w:pPr>
        <w:spacing w:line="480" w:lineRule="auto"/>
        <w:jc w:val="both"/>
        <w:rPr>
          <w:rFonts w:ascii="Times New Roman" w:hAnsi="Times New Roman" w:cs="Times New Roman"/>
          <w:sz w:val="24"/>
          <w:szCs w:val="24"/>
          <w:lang w:val="en-US"/>
        </w:rPr>
      </w:pPr>
      <w:r w:rsidRPr="008E0064">
        <w:rPr>
          <w:rFonts w:ascii="Times New Roman" w:hAnsi="Times New Roman" w:cs="Times New Roman"/>
          <w:sz w:val="24"/>
          <w:szCs w:val="24"/>
          <w:lang w:val="en-US"/>
        </w:rPr>
        <w:t xml:space="preserve">In causal structures, DAGs are used to represent </w:t>
      </w:r>
      <w:r w:rsidR="00170CB1">
        <w:rPr>
          <w:rFonts w:ascii="Times New Roman" w:hAnsi="Times New Roman" w:cs="Times New Roman"/>
          <w:sz w:val="24"/>
          <w:szCs w:val="24"/>
          <w:lang w:val="en-US"/>
        </w:rPr>
        <w:t xml:space="preserve">a </w:t>
      </w:r>
      <w:r w:rsidRPr="008E0064">
        <w:rPr>
          <w:rFonts w:ascii="Times New Roman" w:hAnsi="Times New Roman" w:cs="Times New Roman"/>
          <w:sz w:val="24"/>
          <w:szCs w:val="24"/>
          <w:lang w:val="en-US"/>
        </w:rPr>
        <w:t>researchers' a priori hypotheses about the relationships between and among variables. A DAG is a graphic illustration of a graph with directed edges (arrows), linking nodes (variables), and their paths. Computer algorithms generate graphs containing nodes (vertices, variables) and edges between nodes to discover these causal relationships.</w:t>
      </w:r>
    </w:p>
    <w:p w14:paraId="78E1CEBF" w14:textId="5DDE80B4" w:rsidR="00E85EF6" w:rsidRPr="008E0064" w:rsidRDefault="00E85EF6" w:rsidP="00033F08">
      <w:pPr>
        <w:spacing w:line="480" w:lineRule="auto"/>
        <w:jc w:val="both"/>
        <w:rPr>
          <w:rFonts w:ascii="Times New Roman" w:hAnsi="Times New Roman" w:cs="Times New Roman"/>
          <w:sz w:val="24"/>
          <w:szCs w:val="24"/>
          <w:lang w:val="en-US"/>
        </w:rPr>
      </w:pPr>
      <w:r w:rsidRPr="008E0064">
        <w:rPr>
          <w:rFonts w:ascii="Times New Roman" w:hAnsi="Times New Roman" w:cs="Times New Roman"/>
          <w:sz w:val="24"/>
          <w:szCs w:val="24"/>
          <w:lang w:val="en-US"/>
        </w:rPr>
        <w:t xml:space="preserve">Let </w:t>
      </w:r>
      <w:r w:rsidR="008C0054" w:rsidRPr="008E0064">
        <w:rPr>
          <w:rFonts w:ascii="Times New Roman" w:hAnsi="Times New Roman" w:cs="Times New Roman"/>
          <w:sz w:val="24"/>
          <w:szCs w:val="24"/>
          <w:lang w:val="en-US"/>
        </w:rPr>
        <w:t>A, B</w:t>
      </w:r>
      <w:r w:rsidRPr="008E0064">
        <w:rPr>
          <w:rFonts w:ascii="Times New Roman" w:hAnsi="Times New Roman" w:cs="Times New Roman"/>
          <w:sz w:val="24"/>
          <w:szCs w:val="24"/>
          <w:lang w:val="en-US"/>
        </w:rPr>
        <w:t xml:space="preserve"> and C represent nodes which are variables. The edges can be directed or undirected, and they represent a causal relationship between nodes (indicated by the marks). A path is an unbroken sequence of distinct nodes connected by edges; a directed path, such as the path from A to C (A→B→C) follows the edges in the direction indicated by the arrows. An undirected path, such as the A to C path, does not follow the direction of the arrows. Kinship terms are usually employed in the representation of the relationship within a path. If a directed path exists from A to C, then A is C's ancestor and C is A's descendant. In the case of the directed path A→B→C, A is a direct cause or parent of B, and B is a child of A and parent of C, whereas A is an indirect cause or ancestor of C. The node B is an intermediary or mediator variable on the directed route since it is located on the causal path between A and C.</w:t>
      </w:r>
    </w:p>
    <w:p w14:paraId="5CE62F84" w14:textId="77777777" w:rsidR="00033F08" w:rsidRPr="008E0064" w:rsidRDefault="00033F08" w:rsidP="00033F08">
      <w:pPr>
        <w:pStyle w:val="Default"/>
        <w:spacing w:before="240" w:after="240" w:line="480" w:lineRule="auto"/>
        <w:jc w:val="both"/>
        <w:rPr>
          <w:color w:val="auto"/>
        </w:rPr>
      </w:pPr>
      <w:r w:rsidRPr="008E0064">
        <w:rPr>
          <w:color w:val="auto"/>
        </w:rPr>
        <w:t xml:space="preserve">Because no node may have an arrow pointing to itself, and all edges must be directed (contain arrows), DAGs are acyclic (Greenland et al 1999). In other words, there is no permissible </w:t>
      </w:r>
      <w:r w:rsidRPr="008E0064">
        <w:rPr>
          <w:color w:val="auto"/>
        </w:rPr>
        <w:lastRenderedPageBreak/>
        <w:t>directed path from any node to itself. The assumption that causes must come before effects is enforced by these rules. When assessing endogeneity from these graphs, variables with no causal input are exogenous, whereas variables with causal input are endogenous (</w:t>
      </w:r>
      <w:proofErr w:type="spellStart"/>
      <w:r w:rsidRPr="008E0064">
        <w:rPr>
          <w:color w:val="auto"/>
        </w:rPr>
        <w:t>Spirtes</w:t>
      </w:r>
      <w:proofErr w:type="spellEnd"/>
      <w:r w:rsidRPr="008E0064">
        <w:rPr>
          <w:color w:val="auto"/>
        </w:rPr>
        <w:t xml:space="preserve"> et al., 2000). A DAG is mathematically represented as the conditional independence by the recursive product decomposition, according to </w:t>
      </w:r>
      <w:proofErr w:type="spellStart"/>
      <w:r w:rsidRPr="008E0064">
        <w:rPr>
          <w:color w:val="auto"/>
        </w:rPr>
        <w:t>Miljkovic</w:t>
      </w:r>
      <w:proofErr w:type="spellEnd"/>
      <w:r w:rsidRPr="008E0064">
        <w:rPr>
          <w:color w:val="auto"/>
        </w:rPr>
        <w:t xml:space="preserve"> et al. (2016):</w:t>
      </w:r>
    </w:p>
    <w:p w14:paraId="05B9B1A6" w14:textId="77777777" w:rsidR="00033F08" w:rsidRPr="008E0064" w:rsidRDefault="00542928" w:rsidP="00033F08">
      <w:pPr>
        <w:pStyle w:val="Default"/>
        <w:spacing w:before="240" w:after="240" w:line="480" w:lineRule="auto"/>
        <w:jc w:val="both"/>
        <w:rPr>
          <w:rFonts w:eastAsiaTheme="minorEastAsia"/>
          <w:color w:val="auto"/>
        </w:rPr>
      </w:pPr>
      <m:oMathPara>
        <m:oMath>
          <m:func>
            <m:funcPr>
              <m:ctrlPr>
                <w:rPr>
                  <w:rFonts w:ascii="Cambria Math" w:hAnsi="Cambria Math"/>
                  <w:i/>
                  <w:color w:val="auto"/>
                </w:rPr>
              </m:ctrlPr>
            </m:funcPr>
            <m:fName>
              <m:r>
                <m:rPr>
                  <m:sty m:val="p"/>
                </m:rPr>
                <w:rPr>
                  <w:rFonts w:ascii="Cambria Math" w:hAnsi="Cambria Math"/>
                  <w:color w:val="auto"/>
                </w:rPr>
                <m:t>Pr</m:t>
              </m:r>
            </m:fName>
            <m:e>
              <m:d>
                <m:dPr>
                  <m:ctrlPr>
                    <w:rPr>
                      <w:rFonts w:ascii="Cambria Math" w:hAnsi="Cambria Math"/>
                      <w:i/>
                      <w:color w:val="auto"/>
                    </w:rPr>
                  </m:ctrlPr>
                </m:dPr>
                <m:e>
                  <m:sSub>
                    <m:sSubPr>
                      <m:ctrlPr>
                        <w:rPr>
                          <w:rFonts w:ascii="Cambria Math" w:hAnsi="Cambria Math"/>
                          <w:i/>
                          <w:color w:val="auto"/>
                        </w:rPr>
                      </m:ctrlPr>
                    </m:sSubPr>
                    <m:e>
                      <m:r>
                        <w:rPr>
                          <w:rFonts w:ascii="Cambria Math" w:hAnsi="Cambria Math"/>
                          <w:color w:val="auto"/>
                        </w:rPr>
                        <m:t>v</m:t>
                      </m:r>
                    </m:e>
                    <m:sub>
                      <m:r>
                        <w:rPr>
                          <w:rFonts w:ascii="Cambria Math" w:hAnsi="Cambria Math"/>
                          <w:color w:val="auto"/>
                        </w:rPr>
                        <m:t>1</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v</m:t>
                      </m:r>
                    </m:e>
                    <m:sub>
                      <m:r>
                        <w:rPr>
                          <w:rFonts w:ascii="Cambria Math" w:hAnsi="Cambria Math"/>
                          <w:color w:val="auto"/>
                        </w:rPr>
                        <m:t>2</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v</m:t>
                      </m:r>
                    </m:e>
                    <m:sub>
                      <m:r>
                        <w:rPr>
                          <w:rFonts w:ascii="Cambria Math" w:hAnsi="Cambria Math"/>
                          <w:color w:val="auto"/>
                        </w:rPr>
                        <m:t>n</m:t>
                      </m:r>
                    </m:sub>
                  </m:sSub>
                </m:e>
              </m:d>
            </m:e>
          </m:func>
          <m:r>
            <w:rPr>
              <w:rFonts w:ascii="Cambria Math" w:hAnsi="Cambria Math"/>
              <w:color w:val="auto"/>
            </w:rPr>
            <m:t>=</m:t>
          </m:r>
          <m:nary>
            <m:naryPr>
              <m:chr m:val="∏"/>
              <m:limLoc m:val="subSup"/>
              <m:ctrlPr>
                <w:rPr>
                  <w:rFonts w:ascii="Cambria Math" w:hAnsi="Cambria Math"/>
                  <w:i/>
                  <w:color w:val="auto"/>
                </w:rPr>
              </m:ctrlPr>
            </m:naryPr>
            <m:sub>
              <m:r>
                <w:rPr>
                  <w:rFonts w:ascii="Cambria Math" w:hAnsi="Cambria Math"/>
                  <w:color w:val="auto"/>
                </w:rPr>
                <m:t>i=1</m:t>
              </m:r>
            </m:sub>
            <m:sup>
              <m:r>
                <w:rPr>
                  <w:rFonts w:ascii="Cambria Math" w:hAnsi="Cambria Math"/>
                  <w:color w:val="auto"/>
                </w:rPr>
                <m:t>n</m:t>
              </m:r>
            </m:sup>
            <m:e>
              <m:func>
                <m:funcPr>
                  <m:ctrlPr>
                    <w:rPr>
                      <w:rFonts w:ascii="Cambria Math" w:hAnsi="Cambria Math"/>
                      <w:i/>
                      <w:color w:val="auto"/>
                    </w:rPr>
                  </m:ctrlPr>
                </m:funcPr>
                <m:fName>
                  <m:r>
                    <m:rPr>
                      <m:sty m:val="p"/>
                    </m:rPr>
                    <w:rPr>
                      <w:rFonts w:ascii="Cambria Math" w:hAnsi="Cambria Math"/>
                      <w:color w:val="auto"/>
                    </w:rPr>
                    <m:t>Pr</m:t>
                  </m:r>
                </m:fName>
                <m:e>
                  <m:d>
                    <m:dPr>
                      <m:ctrlPr>
                        <w:rPr>
                          <w:rFonts w:ascii="Cambria Math" w:hAnsi="Cambria Math"/>
                          <w:i/>
                          <w:color w:val="auto"/>
                        </w:rPr>
                      </m:ctrlPr>
                    </m:dPr>
                    <m:e>
                      <m:sSub>
                        <m:sSubPr>
                          <m:ctrlPr>
                            <w:rPr>
                              <w:rFonts w:ascii="Cambria Math" w:hAnsi="Cambria Math"/>
                              <w:i/>
                              <w:color w:val="auto"/>
                            </w:rPr>
                          </m:ctrlPr>
                        </m:sSubPr>
                        <m:e>
                          <m:r>
                            <w:rPr>
                              <w:rFonts w:ascii="Cambria Math" w:hAnsi="Cambria Math"/>
                              <w:color w:val="auto"/>
                            </w:rPr>
                            <m:t>v</m:t>
                          </m:r>
                        </m:e>
                        <m:sub>
                          <m:r>
                            <w:rPr>
                              <w:rFonts w:ascii="Cambria Math" w:hAnsi="Cambria Math"/>
                              <w:color w:val="auto"/>
                            </w:rPr>
                            <m:t>i</m:t>
                          </m:r>
                        </m:sub>
                      </m:sSub>
                      <m:r>
                        <w:rPr>
                          <w:rFonts w:ascii="Cambria Math" w:hAnsi="Cambria Math"/>
                          <w:color w:val="auto"/>
                        </w:rPr>
                        <m:t>|p</m:t>
                      </m:r>
                      <m:sSub>
                        <m:sSubPr>
                          <m:ctrlPr>
                            <w:rPr>
                              <w:rFonts w:ascii="Cambria Math" w:hAnsi="Cambria Math"/>
                              <w:i/>
                              <w:color w:val="auto"/>
                            </w:rPr>
                          </m:ctrlPr>
                        </m:sSubPr>
                        <m:e>
                          <m:r>
                            <w:rPr>
                              <w:rFonts w:ascii="Cambria Math" w:hAnsi="Cambria Math"/>
                              <w:color w:val="auto"/>
                            </w:rPr>
                            <m:t>π</m:t>
                          </m:r>
                        </m:e>
                        <m:sub>
                          <m:r>
                            <w:rPr>
                              <w:rFonts w:ascii="Cambria Math" w:hAnsi="Cambria Math"/>
                              <w:color w:val="auto"/>
                            </w:rPr>
                            <m:t>i</m:t>
                          </m:r>
                        </m:sub>
                      </m:sSub>
                    </m:e>
                  </m:d>
                </m:e>
              </m:func>
            </m:e>
          </m:nary>
        </m:oMath>
      </m:oMathPara>
    </w:p>
    <w:p w14:paraId="409CD7DF" w14:textId="1FB7085C" w:rsidR="00170CB1" w:rsidRDefault="00033F08" w:rsidP="00033F08">
      <w:pPr>
        <w:pStyle w:val="Default"/>
        <w:spacing w:before="240" w:after="240" w:line="480" w:lineRule="auto"/>
        <w:jc w:val="both"/>
        <w:rPr>
          <w:color w:val="auto"/>
        </w:rPr>
      </w:pPr>
      <w:r w:rsidRPr="008E0064">
        <w:rPr>
          <w:color w:val="auto"/>
        </w:rPr>
        <w:t xml:space="preserve">where </w:t>
      </w:r>
      <w:r w:rsidRPr="008E0064">
        <w:rPr>
          <w:rFonts w:ascii="Cambria Math" w:hAnsi="Cambria Math" w:cs="Cambria Math"/>
          <w:color w:val="auto"/>
        </w:rPr>
        <w:t>𝑃𝑟</w:t>
      </w:r>
      <w:r w:rsidRPr="008E0064">
        <w:rPr>
          <w:color w:val="auto"/>
        </w:rPr>
        <w:t xml:space="preserve"> is the probability of the variables</w:t>
      </w:r>
      <w:r w:rsidRPr="008E0064">
        <w:rPr>
          <w:rFonts w:eastAsiaTheme="minorEastAsia"/>
          <w:color w:val="auto"/>
        </w:rPr>
        <w:t xml:space="preserve"> </w:t>
      </w:r>
      <m:oMath>
        <m:d>
          <m:dPr>
            <m:ctrlPr>
              <w:rPr>
                <w:rFonts w:ascii="Cambria Math" w:hAnsi="Cambria Math"/>
                <w:i/>
                <w:color w:val="auto"/>
              </w:rPr>
            </m:ctrlPr>
          </m:dPr>
          <m:e>
            <m:sSub>
              <m:sSubPr>
                <m:ctrlPr>
                  <w:rPr>
                    <w:rFonts w:ascii="Cambria Math" w:hAnsi="Cambria Math"/>
                    <w:i/>
                    <w:color w:val="auto"/>
                  </w:rPr>
                </m:ctrlPr>
              </m:sSubPr>
              <m:e>
                <m:r>
                  <w:rPr>
                    <w:rFonts w:ascii="Cambria Math" w:hAnsi="Cambria Math"/>
                    <w:color w:val="auto"/>
                  </w:rPr>
                  <m:t>v</m:t>
                </m:r>
              </m:e>
              <m:sub>
                <m:r>
                  <w:rPr>
                    <w:rFonts w:ascii="Cambria Math" w:hAnsi="Cambria Math"/>
                    <w:color w:val="auto"/>
                  </w:rPr>
                  <m:t>1</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v</m:t>
                </m:r>
              </m:e>
              <m:sub>
                <m:r>
                  <w:rPr>
                    <w:rFonts w:ascii="Cambria Math" w:hAnsi="Cambria Math"/>
                    <w:color w:val="auto"/>
                  </w:rPr>
                  <m:t>2</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v</m:t>
                </m:r>
              </m:e>
              <m:sub>
                <m:r>
                  <w:rPr>
                    <w:rFonts w:ascii="Cambria Math" w:hAnsi="Cambria Math"/>
                    <w:color w:val="auto"/>
                  </w:rPr>
                  <m:t>n</m:t>
                </m:r>
              </m:sub>
            </m:sSub>
          </m:e>
        </m:d>
      </m:oMath>
      <w:r w:rsidRPr="008E0064">
        <w:rPr>
          <w:color w:val="auto"/>
        </w:rPr>
        <w:t xml:space="preserve">. The product operator is denoted by Π, and </w:t>
      </w:r>
      <m:oMath>
        <m:r>
          <w:rPr>
            <w:rFonts w:ascii="Cambria Math" w:hAnsi="Cambria Math"/>
            <w:color w:val="auto"/>
          </w:rPr>
          <m:t>p</m:t>
        </m:r>
        <m:sSub>
          <m:sSubPr>
            <m:ctrlPr>
              <w:rPr>
                <w:rFonts w:ascii="Cambria Math" w:hAnsi="Cambria Math"/>
                <w:i/>
                <w:color w:val="auto"/>
              </w:rPr>
            </m:ctrlPr>
          </m:sSubPr>
          <m:e>
            <m:r>
              <w:rPr>
                <w:rFonts w:ascii="Cambria Math" w:hAnsi="Cambria Math"/>
                <w:color w:val="auto"/>
              </w:rPr>
              <m:t>π</m:t>
            </m:r>
          </m:e>
          <m:sub>
            <m:r>
              <w:rPr>
                <w:rFonts w:ascii="Cambria Math" w:hAnsi="Cambria Math"/>
                <w:color w:val="auto"/>
              </w:rPr>
              <m:t>i</m:t>
            </m:r>
          </m:sub>
        </m:sSub>
      </m:oMath>
      <w:r w:rsidRPr="008E0064">
        <w:rPr>
          <w:color w:val="auto"/>
        </w:rPr>
        <w:t xml:space="preserve"> denotes the realization of a subset of variables that produce </w:t>
      </w:r>
      <m:oMath>
        <m:sSub>
          <m:sSubPr>
            <m:ctrlPr>
              <w:rPr>
                <w:rFonts w:ascii="Cambria Math" w:hAnsi="Cambria Math"/>
                <w:i/>
                <w:color w:val="auto"/>
              </w:rPr>
            </m:ctrlPr>
          </m:sSubPr>
          <m:e>
            <m:r>
              <w:rPr>
                <w:rFonts w:ascii="Cambria Math" w:hAnsi="Cambria Math"/>
                <w:color w:val="auto"/>
              </w:rPr>
              <m:t>v</m:t>
            </m:r>
          </m:e>
          <m:sub>
            <m:r>
              <w:rPr>
                <w:rFonts w:ascii="Cambria Math" w:hAnsi="Cambria Math"/>
                <w:color w:val="auto"/>
              </w:rPr>
              <m:t>i</m:t>
            </m:r>
          </m:sub>
        </m:sSub>
      </m:oMath>
      <w:r w:rsidRPr="008E0064">
        <w:rPr>
          <w:color w:val="auto"/>
        </w:rPr>
        <w:t xml:space="preserve"> in the order (</w:t>
      </w:r>
      <w:proofErr w:type="spellStart"/>
      <w:r w:rsidRPr="008E0064">
        <w:rPr>
          <w:color w:val="auto"/>
        </w:rPr>
        <w:t>i</w:t>
      </w:r>
      <w:proofErr w:type="spellEnd"/>
      <w:r w:rsidRPr="008E0064">
        <w:rPr>
          <w:color w:val="auto"/>
        </w:rPr>
        <w:t>=</w:t>
      </w:r>
      <w:r w:rsidR="00170CB1" w:rsidRPr="008E0064">
        <w:rPr>
          <w:color w:val="auto"/>
        </w:rPr>
        <w:t>1, 2...</w:t>
      </w:r>
      <w:r w:rsidRPr="008E0064">
        <w:rPr>
          <w:color w:val="auto"/>
        </w:rPr>
        <w:t xml:space="preserve">.n). The work of Pearls’ (1995) on d-separation allows independencies and causes to be visually expressed. d-separation is a criterion for determining if a set A of variables is independent of another set B, given a third set C, given a certain causal network. </w:t>
      </w:r>
    </w:p>
    <w:p w14:paraId="3BFC661D" w14:textId="50C21497" w:rsidR="00033F08" w:rsidRPr="008E0064" w:rsidRDefault="00033F08" w:rsidP="00033F08">
      <w:pPr>
        <w:pStyle w:val="Default"/>
        <w:spacing w:before="240" w:after="240" w:line="480" w:lineRule="auto"/>
        <w:jc w:val="both"/>
        <w:rPr>
          <w:color w:val="auto"/>
        </w:rPr>
      </w:pPr>
      <w:r w:rsidRPr="008E0064">
        <w:rPr>
          <w:color w:val="auto"/>
        </w:rPr>
        <w:t xml:space="preserve">The concept is to identify "dependency" with "connectedness" (the presence of a connecting channel) and "independence" with "unconnected-ness" or "separation." Pearl (1995) suggests d-separation as a graphical representation of conditional independence. In other words, d-separation characterizes the conditional independence relations defined by the equation. If we construct a directed acyclic graph in which the variables corresponding to </w:t>
      </w:r>
      <m:oMath>
        <m:r>
          <w:rPr>
            <w:rFonts w:ascii="Cambria Math" w:hAnsi="Cambria Math"/>
            <w:color w:val="auto"/>
          </w:rPr>
          <m:t>p</m:t>
        </m:r>
        <m:sSub>
          <m:sSubPr>
            <m:ctrlPr>
              <w:rPr>
                <w:rFonts w:ascii="Cambria Math" w:hAnsi="Cambria Math"/>
                <w:i/>
                <w:color w:val="auto"/>
              </w:rPr>
            </m:ctrlPr>
          </m:sSubPr>
          <m:e>
            <m:r>
              <w:rPr>
                <w:rFonts w:ascii="Cambria Math" w:hAnsi="Cambria Math"/>
                <w:color w:val="auto"/>
              </w:rPr>
              <m:t>π</m:t>
            </m:r>
          </m:e>
          <m:sub>
            <m:r>
              <w:rPr>
                <w:rFonts w:ascii="Cambria Math" w:hAnsi="Cambria Math"/>
                <w:color w:val="auto"/>
              </w:rPr>
              <m:t>i</m:t>
            </m:r>
          </m:sub>
        </m:sSub>
      </m:oMath>
      <w:r w:rsidRPr="008E0064">
        <w:rPr>
          <w:color w:val="auto"/>
          <w:shd w:val="clear" w:color="auto" w:fill="FFFFFF"/>
        </w:rPr>
        <w:t xml:space="preserve"> </w:t>
      </w:r>
      <w:r w:rsidRPr="008E0064">
        <w:rPr>
          <w:color w:val="auto"/>
        </w:rPr>
        <w:t xml:space="preserve">are represented as the parents (direct causes) of </w:t>
      </w:r>
      <m:oMath>
        <m:sSub>
          <m:sSubPr>
            <m:ctrlPr>
              <w:rPr>
                <w:rFonts w:ascii="Cambria Math" w:hAnsi="Cambria Math"/>
                <w:i/>
                <w:color w:val="auto"/>
              </w:rPr>
            </m:ctrlPr>
          </m:sSubPr>
          <m:e>
            <m:r>
              <w:rPr>
                <w:rFonts w:ascii="Cambria Math" w:hAnsi="Cambria Math"/>
                <w:color w:val="auto"/>
              </w:rPr>
              <m:t>v</m:t>
            </m:r>
          </m:e>
          <m:sub>
            <m:r>
              <w:rPr>
                <w:rFonts w:ascii="Cambria Math" w:hAnsi="Cambria Math"/>
                <w:color w:val="auto"/>
              </w:rPr>
              <m:t>i</m:t>
            </m:r>
          </m:sub>
        </m:sSub>
      </m:oMath>
      <w:r w:rsidRPr="008E0064">
        <w:rPr>
          <w:color w:val="auto"/>
        </w:rPr>
        <w:t>, we may read off the graph the independencies suggested by the equation using the concept of d-separation (Pearl, 1995).</w:t>
      </w:r>
    </w:p>
    <w:p w14:paraId="09C57332" w14:textId="20D5948A" w:rsidR="00E85EF6" w:rsidRPr="008E0064" w:rsidRDefault="00E85EF6" w:rsidP="00033F08">
      <w:pPr>
        <w:spacing w:line="480" w:lineRule="auto"/>
        <w:jc w:val="both"/>
        <w:rPr>
          <w:rFonts w:ascii="Times New Roman" w:hAnsi="Times New Roman" w:cs="Times New Roman"/>
          <w:sz w:val="24"/>
          <w:szCs w:val="24"/>
          <w:lang w:val="en-US"/>
        </w:rPr>
      </w:pPr>
      <w:r w:rsidRPr="008E0064">
        <w:rPr>
          <w:rFonts w:ascii="Times New Roman" w:hAnsi="Times New Roman" w:cs="Times New Roman"/>
          <w:sz w:val="24"/>
          <w:szCs w:val="24"/>
          <w:lang w:val="en-US"/>
        </w:rPr>
        <w:t xml:space="preserve">The DAGs </w:t>
      </w:r>
      <w:r w:rsidR="00170CB1">
        <w:rPr>
          <w:rFonts w:ascii="Times New Roman" w:hAnsi="Times New Roman" w:cs="Times New Roman"/>
          <w:sz w:val="24"/>
          <w:szCs w:val="24"/>
          <w:lang w:val="en-US"/>
        </w:rPr>
        <w:t xml:space="preserve">in this study </w:t>
      </w:r>
      <w:r w:rsidRPr="008E0064">
        <w:rPr>
          <w:rFonts w:ascii="Times New Roman" w:hAnsi="Times New Roman" w:cs="Times New Roman"/>
          <w:sz w:val="24"/>
          <w:szCs w:val="24"/>
          <w:lang w:val="en-US"/>
        </w:rPr>
        <w:t xml:space="preserve">were created using the PC and Parallel PC </w:t>
      </w:r>
      <w:r w:rsidR="00170CB1">
        <w:rPr>
          <w:rFonts w:ascii="Times New Roman" w:hAnsi="Times New Roman" w:cs="Times New Roman"/>
          <w:sz w:val="24"/>
          <w:szCs w:val="24"/>
          <w:lang w:val="en-US"/>
        </w:rPr>
        <w:t xml:space="preserve">algorithm </w:t>
      </w:r>
      <w:r w:rsidRPr="008E0064">
        <w:rPr>
          <w:rFonts w:ascii="Times New Roman" w:hAnsi="Times New Roman" w:cs="Times New Roman"/>
          <w:sz w:val="24"/>
          <w:szCs w:val="24"/>
          <w:lang w:val="en-US"/>
        </w:rPr>
        <w:t xml:space="preserve">methods implemented in Python. These two algorithms were selected because they enable us to determine the reliability of the directions and relationships in the data provided by the PC algorithm. The PC algorithm is broken into two phases: first, it learns a skeleton graph from data consisting entirely of undirected edges, and secondly, it orients the undirected edges to </w:t>
      </w:r>
      <w:r w:rsidRPr="008E0064">
        <w:rPr>
          <w:rFonts w:ascii="Times New Roman" w:hAnsi="Times New Roman" w:cs="Times New Roman"/>
          <w:sz w:val="24"/>
          <w:szCs w:val="24"/>
          <w:lang w:val="en-US"/>
        </w:rPr>
        <w:lastRenderedPageBreak/>
        <w:t>construct an equivalence class of DAGs (</w:t>
      </w:r>
      <w:proofErr w:type="spellStart"/>
      <w:r w:rsidRPr="008E0064">
        <w:rPr>
          <w:rFonts w:ascii="Times New Roman" w:hAnsi="Times New Roman" w:cs="Times New Roman"/>
          <w:sz w:val="24"/>
          <w:szCs w:val="24"/>
          <w:lang w:val="en-US"/>
        </w:rPr>
        <w:t>Spirtes</w:t>
      </w:r>
      <w:proofErr w:type="spellEnd"/>
      <w:r w:rsidRPr="008E0064">
        <w:rPr>
          <w:rFonts w:ascii="Times New Roman" w:hAnsi="Times New Roman" w:cs="Times New Roman"/>
          <w:sz w:val="24"/>
          <w:szCs w:val="24"/>
          <w:lang w:val="en-US"/>
        </w:rPr>
        <w:t xml:space="preserve"> et al 2000). The theoretical underpinning of the PC algorithm is that if there is no connection (edge) between nodes X and Y, then there exists a set of vertices Z that are either neighbors of X or Y and hence independent of X and Y. In other words, Z disassociates X and Y. The PC algorithm begins with a fully linked network and determines whether an edge should be eliminated or preserved using conditional independence tests. The PC algorithm determines the independence of two variables connected by an edge, X and Y, conditional on a subset Z of all X and Y's neighbors.</w:t>
      </w:r>
    </w:p>
    <w:p w14:paraId="1A7524B3" w14:textId="4C8B8440" w:rsidR="00033F08" w:rsidRPr="00170CB1" w:rsidRDefault="00033F08" w:rsidP="00033F08">
      <w:pPr>
        <w:spacing w:line="480" w:lineRule="auto"/>
        <w:jc w:val="both"/>
        <w:rPr>
          <w:rFonts w:ascii="Times New Roman" w:hAnsi="Times New Roman" w:cs="Times New Roman"/>
          <w:color w:val="FF0000"/>
          <w:sz w:val="24"/>
          <w:szCs w:val="24"/>
          <w:lang w:val="en-US"/>
        </w:rPr>
      </w:pPr>
      <w:r w:rsidRPr="00170CB1">
        <w:rPr>
          <w:rFonts w:ascii="Times New Roman" w:hAnsi="Times New Roman" w:cs="Times New Roman"/>
          <w:color w:val="FF0000"/>
          <w:sz w:val="24"/>
          <w:szCs w:val="24"/>
          <w:lang w:val="en-US"/>
        </w:rPr>
        <w:t>However, there are two significant drawbacks to the PC algorithm, particularly when applied to large biological datasets: the runtime of the PC algorithm, which is exponential in terms of the number of nodes (variables) when applied to high-dimensional datasets such as gene expression datasets, which was not a concern in our investigation. Second, the outcome of the PC method is variable ordered dependent, i.e. the result may change depending on the order of the variables in the input dataset. Colombo et al. (2012) demonstrated experimentally that approximately 40% of the edges (2000 edges) learned from a real gene expression dataset are not stable, i.e. these edges exist in less than half of the results produced with all possible node orderings.</w:t>
      </w:r>
    </w:p>
    <w:p w14:paraId="3120A1DF" w14:textId="41721418" w:rsidR="00033F08" w:rsidRPr="00170CB1" w:rsidRDefault="00033F08" w:rsidP="00033F08">
      <w:pPr>
        <w:spacing w:line="480" w:lineRule="auto"/>
        <w:jc w:val="both"/>
        <w:rPr>
          <w:rFonts w:ascii="Times New Roman" w:hAnsi="Times New Roman" w:cs="Times New Roman"/>
          <w:color w:val="FF0000"/>
          <w:sz w:val="24"/>
          <w:szCs w:val="24"/>
          <w:lang w:val="en-US"/>
        </w:rPr>
      </w:pPr>
      <w:r w:rsidRPr="00170CB1">
        <w:rPr>
          <w:rFonts w:ascii="Times New Roman" w:hAnsi="Times New Roman" w:cs="Times New Roman"/>
          <w:color w:val="FF0000"/>
          <w:sz w:val="24"/>
          <w:szCs w:val="24"/>
          <w:lang w:val="en-US"/>
        </w:rPr>
        <w:t xml:space="preserve">To overcome this, the concept of parallelism has been </w:t>
      </w:r>
      <w:r w:rsidR="00170CB1" w:rsidRPr="00170CB1">
        <w:rPr>
          <w:rFonts w:ascii="Times New Roman" w:hAnsi="Times New Roman" w:cs="Times New Roman"/>
          <w:color w:val="FF0000"/>
          <w:sz w:val="24"/>
          <w:szCs w:val="24"/>
          <w:lang w:val="en-US"/>
        </w:rPr>
        <w:t>employed</w:t>
      </w:r>
      <w:r w:rsidRPr="00170CB1">
        <w:rPr>
          <w:rFonts w:ascii="Times New Roman" w:hAnsi="Times New Roman" w:cs="Times New Roman"/>
          <w:color w:val="FF0000"/>
          <w:sz w:val="24"/>
          <w:szCs w:val="24"/>
          <w:lang w:val="en-US"/>
        </w:rPr>
        <w:t xml:space="preserve">, which is the process of breaking down a large work into several smaller subtasks and distributing them across multiple cores of the computer's CPU to perform in parallel. After that, the outcomes of all subtasks will be combined to make the outcome of the main task. The parallel PC algorithm suggested technique parallelizes the CI tests inside each level of the stable PC algorithm, not across levels. This approach is practical because conditional independence tests (CI) at a given level are self-contained. Because the graph is updated only at the conclusion of each level, the result of one CI test has no effect on the results of the others. As a result, the CI tests at a given level can be run concurrently without affecting the final outcome. Additionally, this approach has the </w:t>
      </w:r>
      <w:r w:rsidRPr="00170CB1">
        <w:rPr>
          <w:rFonts w:ascii="Times New Roman" w:hAnsi="Times New Roman" w:cs="Times New Roman"/>
          <w:color w:val="FF0000"/>
          <w:sz w:val="24"/>
          <w:szCs w:val="24"/>
          <w:lang w:val="en-US"/>
        </w:rPr>
        <w:lastRenderedPageBreak/>
        <w:t>advantage of pre-determining the number of CI tests for each level. This distributes the CI tests evenly over the available cores, allowing the parallelized approach to achieve the highest feasible speedup.</w:t>
      </w:r>
    </w:p>
    <w:p w14:paraId="39B7C4AD" w14:textId="35E15E25" w:rsidR="00E85EF6" w:rsidRPr="008E0064" w:rsidRDefault="00E85EF6" w:rsidP="00033F08">
      <w:pPr>
        <w:spacing w:line="480" w:lineRule="auto"/>
        <w:jc w:val="both"/>
        <w:rPr>
          <w:rFonts w:ascii="Times New Roman" w:hAnsi="Times New Roman" w:cs="Times New Roman"/>
          <w:b/>
          <w:sz w:val="24"/>
          <w:szCs w:val="24"/>
          <w:lang w:val="en-US"/>
        </w:rPr>
      </w:pPr>
      <w:r w:rsidRPr="008E0064">
        <w:rPr>
          <w:rFonts w:ascii="Times New Roman" w:hAnsi="Times New Roman" w:cs="Times New Roman"/>
          <w:b/>
          <w:sz w:val="24"/>
          <w:szCs w:val="24"/>
          <w:lang w:val="en-US"/>
        </w:rPr>
        <w:t xml:space="preserve">Results </w:t>
      </w:r>
    </w:p>
    <w:p w14:paraId="2761CE8F" w14:textId="00FA6DA1" w:rsidR="001C3175" w:rsidRDefault="001C3175" w:rsidP="00033F08">
      <w:pPr>
        <w:spacing w:line="480" w:lineRule="auto"/>
        <w:jc w:val="both"/>
        <w:rPr>
          <w:rFonts w:ascii="Times New Roman" w:hAnsi="Times New Roman" w:cs="Times New Roman"/>
          <w:sz w:val="24"/>
          <w:szCs w:val="24"/>
        </w:rPr>
      </w:pPr>
      <w:r w:rsidRPr="008E0064">
        <w:rPr>
          <w:rFonts w:ascii="Times New Roman" w:hAnsi="Times New Roman" w:cs="Times New Roman"/>
          <w:sz w:val="24"/>
          <w:szCs w:val="24"/>
        </w:rPr>
        <w:t>The amount of research into the impact of GBH has expanded dramatically in recent years due to the importance of food safety (</w:t>
      </w:r>
      <w:proofErr w:type="spellStart"/>
      <w:r w:rsidRPr="008E0064">
        <w:rPr>
          <w:rFonts w:ascii="Times New Roman" w:hAnsi="Times New Roman" w:cs="Times New Roman"/>
          <w:sz w:val="24"/>
          <w:szCs w:val="24"/>
        </w:rPr>
        <w:t>Zyoud</w:t>
      </w:r>
      <w:proofErr w:type="spellEnd"/>
      <w:r w:rsidRPr="008E0064">
        <w:rPr>
          <w:rFonts w:ascii="Times New Roman" w:hAnsi="Times New Roman" w:cs="Times New Roman"/>
          <w:sz w:val="24"/>
          <w:szCs w:val="24"/>
        </w:rPr>
        <w:t xml:space="preserve"> et al 2016), as evidenced by this study, with fewer than ten publications per year prior to 2005 and 67 studies included in 2020. Three hundred and seventy-six studies, or 74.8 percent, reported that GBH could have adverse effects on humans, non-target creatures, or/and the environment, while 25.2 percent reported that GBH had no adverse effect; thus, when used at recommended doses, are considered safe for humans, animals, non-target creatures, and the environment. A total of 281 studies (55.86 percent) studied the impacts or effects of GBH on non-target species and the environment in general, including other plants, aquatic organisms, rodents, bees, and microorganisms. The human impact research examined any associations with cancer, hormonal abnormalities, and any other potential harm to human health that GBH may provide. The daily intake of glyphosate in food and water was examined in 14 of the 503 studies.</w:t>
      </w:r>
    </w:p>
    <w:p w14:paraId="224C5716" w14:textId="3028110A" w:rsidR="00251577" w:rsidRPr="008E0BE8" w:rsidRDefault="00251577" w:rsidP="00033F08">
      <w:pPr>
        <w:spacing w:line="480" w:lineRule="auto"/>
        <w:jc w:val="both"/>
        <w:rPr>
          <w:rFonts w:ascii="Times New Roman" w:hAnsi="Times New Roman" w:cs="Times New Roman"/>
          <w:b/>
          <w:sz w:val="24"/>
          <w:szCs w:val="24"/>
        </w:rPr>
      </w:pPr>
      <w:r w:rsidRPr="008E0BE8">
        <w:rPr>
          <w:rFonts w:ascii="Times New Roman" w:hAnsi="Times New Roman" w:cs="Times New Roman"/>
          <w:b/>
          <w:sz w:val="24"/>
          <w:szCs w:val="24"/>
        </w:rPr>
        <w:t xml:space="preserve">Average Outcome </w:t>
      </w:r>
      <w:r w:rsidR="008E0BE8" w:rsidRPr="008E0BE8">
        <w:rPr>
          <w:rFonts w:ascii="Times New Roman" w:hAnsi="Times New Roman" w:cs="Times New Roman"/>
          <w:b/>
          <w:sz w:val="24"/>
          <w:szCs w:val="24"/>
        </w:rPr>
        <w:t>of Research Institution</w:t>
      </w:r>
    </w:p>
    <w:p w14:paraId="6E3E055C" w14:textId="77777777" w:rsidR="001C3175" w:rsidRPr="008E0064" w:rsidRDefault="001C3175" w:rsidP="00033F08">
      <w:pPr>
        <w:spacing w:line="480" w:lineRule="auto"/>
        <w:jc w:val="both"/>
        <w:rPr>
          <w:rFonts w:ascii="Times New Roman" w:hAnsi="Times New Roman" w:cs="Times New Roman"/>
          <w:sz w:val="24"/>
          <w:szCs w:val="24"/>
        </w:rPr>
      </w:pPr>
      <w:r w:rsidRPr="008E0064">
        <w:rPr>
          <w:rFonts w:ascii="Times New Roman" w:hAnsi="Times New Roman" w:cs="Times New Roman"/>
          <w:sz w:val="24"/>
          <w:szCs w:val="24"/>
        </w:rPr>
        <w:t>In general, university researchers were the most active in conducting research on the impacts of GBH, followed by public institutions such as regulatory agencies and state-funded research organizations. Private sector affiliations organizations included laboratories, research institutions, and companies producing agricultural chemicals. Groups recognized as anti-glyphosate or producers of agricultural chemicals were identified in this category. Even though international agencies such as the European Food Safety Authority were identified, they comprise a minuscule component of the study hence dropped out.</w:t>
      </w:r>
    </w:p>
    <w:p w14:paraId="5C608A37" w14:textId="77777777" w:rsidR="001C3175" w:rsidRPr="008E0064" w:rsidRDefault="001C3175" w:rsidP="00033F08">
      <w:pPr>
        <w:spacing w:line="480" w:lineRule="auto"/>
        <w:jc w:val="both"/>
        <w:rPr>
          <w:rFonts w:ascii="Times New Roman" w:hAnsi="Times New Roman" w:cs="Times New Roman"/>
          <w:sz w:val="24"/>
          <w:szCs w:val="24"/>
        </w:rPr>
      </w:pPr>
      <w:r w:rsidRPr="008E0064">
        <w:rPr>
          <w:rFonts w:ascii="Times New Roman" w:hAnsi="Times New Roman" w:cs="Times New Roman"/>
          <w:sz w:val="24"/>
          <w:szCs w:val="24"/>
        </w:rPr>
        <w:lastRenderedPageBreak/>
        <w:t>The study acknowledges that some studies involve multiple authors from various institutions. To address this, we choose to identify each author's affiliation based on publicly available information in papers and to display all types of institutions per study. In all, 87.87 % of studies had at least one author who was linked with a university, followed by public and private institutions at 20.08 % and 4.72 %, respectively. As shown in a breakdown of the average outcome (adverse or no adverse effect), studies having at least one author from a university had the highest average outcome of 75.57 %, suggesting GBH had a detrimental effect on non-target organisms. This was followed by articles authored by individuals affiliated with public institutions, with 64.36 % of outcomes indicating that GBH had a variety of adverse effects. Private institution-based studies had the lowest average outcome or adverse impacts, with only 32% of their research indicating a negative effect of GBH.</w:t>
      </w:r>
    </w:p>
    <w:p w14:paraId="1B9B7916" w14:textId="77777777" w:rsidR="00465419" w:rsidRDefault="001C3175" w:rsidP="00465419">
      <w:pPr>
        <w:keepNext/>
        <w:spacing w:line="480" w:lineRule="auto"/>
        <w:jc w:val="both"/>
      </w:pPr>
      <w:r w:rsidRPr="008E0064">
        <w:rPr>
          <w:rFonts w:ascii="Times New Roman" w:hAnsi="Times New Roman" w:cs="Times New Roman"/>
          <w:noProof/>
        </w:rPr>
        <w:drawing>
          <wp:inline distT="0" distB="0" distL="0" distR="0" wp14:anchorId="7D5076B9" wp14:editId="5F1951EB">
            <wp:extent cx="5787344" cy="2480807"/>
            <wp:effectExtent l="0" t="0" r="4445" b="0"/>
            <wp:docPr id="3" name="Picture 3" descr="C:\Users\kodjo.barnor\AppData\Local\Microsoft\Windows\INetCache\Content.MSO\BD66581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odjo.barnor\AppData\Local\Microsoft\Windows\INetCache\Content.MSO\BD665814.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60365" cy="2512108"/>
                    </a:xfrm>
                    <a:prstGeom prst="rect">
                      <a:avLst/>
                    </a:prstGeom>
                    <a:noFill/>
                    <a:ln>
                      <a:noFill/>
                    </a:ln>
                  </pic:spPr>
                </pic:pic>
              </a:graphicData>
            </a:graphic>
          </wp:inline>
        </w:drawing>
      </w:r>
    </w:p>
    <w:p w14:paraId="3C74A478" w14:textId="01FAB2A0" w:rsidR="001C3175" w:rsidRDefault="00465419" w:rsidP="00465419">
      <w:pPr>
        <w:pStyle w:val="Caption"/>
        <w:jc w:val="both"/>
      </w:pPr>
      <w:r>
        <w:t xml:space="preserve">Figure </w:t>
      </w:r>
      <w:fldSimple w:instr=" SEQ Figure \* ARABIC ">
        <w:r>
          <w:rPr>
            <w:noProof/>
          </w:rPr>
          <w:t>1</w:t>
        </w:r>
      </w:fldSimple>
      <w:r>
        <w:t xml:space="preserve"> Average Outcome per Institution of Study</w:t>
      </w:r>
    </w:p>
    <w:p w14:paraId="4ECE6F36" w14:textId="77777777" w:rsidR="00465419" w:rsidRPr="008E0064" w:rsidRDefault="00465419" w:rsidP="00465419">
      <w:pPr>
        <w:spacing w:line="480" w:lineRule="auto"/>
        <w:jc w:val="both"/>
        <w:rPr>
          <w:rFonts w:ascii="Times New Roman" w:hAnsi="Times New Roman" w:cs="Times New Roman"/>
          <w:sz w:val="24"/>
          <w:szCs w:val="24"/>
        </w:rPr>
      </w:pPr>
      <w:r w:rsidRPr="008E0064">
        <w:rPr>
          <w:rFonts w:ascii="Times New Roman" w:hAnsi="Times New Roman" w:cs="Times New Roman"/>
          <w:sz w:val="24"/>
          <w:szCs w:val="24"/>
        </w:rPr>
        <w:t xml:space="preserve">To shed more light on the evaluation of study results by author affiliation, we present Figure 1, which depicts the progression of the major types of affiliation institutions and their associated outcomes across the time of analysis. The figure depicts a graph that exhibits a general upward trend throughout time. This is particularly noticeable in studies conducted with university-based authors after the year 2000. This is also true for research authored by members </w:t>
      </w:r>
      <w:r w:rsidRPr="008E0064">
        <w:rPr>
          <w:rFonts w:ascii="Times New Roman" w:hAnsi="Times New Roman" w:cs="Times New Roman"/>
          <w:sz w:val="24"/>
          <w:szCs w:val="24"/>
        </w:rPr>
        <w:lastRenderedPageBreak/>
        <w:t>of public institutions. This is not the case with studies conducted by writers from private organizations, which generally have a negligible, if any, harmful effect. Previous research has proven that an author's affiliation with or the venue of a study, such as public or private research organizations, might influence the study's conclusion, as they seek various aims and incentives when conducting research (Glenn and Bruce, 2021)</w:t>
      </w:r>
    </w:p>
    <w:p w14:paraId="425335DC" w14:textId="1A85B9CC" w:rsidR="008E0BE8" w:rsidRPr="008E0BE8" w:rsidRDefault="008E0BE8" w:rsidP="008E0BE8">
      <w:pPr>
        <w:spacing w:line="480" w:lineRule="auto"/>
        <w:jc w:val="both"/>
        <w:rPr>
          <w:rFonts w:ascii="Times New Roman" w:hAnsi="Times New Roman" w:cs="Times New Roman"/>
          <w:b/>
          <w:sz w:val="24"/>
          <w:szCs w:val="24"/>
        </w:rPr>
      </w:pPr>
      <w:r w:rsidRPr="008E0BE8">
        <w:rPr>
          <w:rFonts w:ascii="Times New Roman" w:hAnsi="Times New Roman" w:cs="Times New Roman"/>
          <w:b/>
          <w:sz w:val="24"/>
          <w:szCs w:val="24"/>
        </w:rPr>
        <w:t xml:space="preserve">Average Outcome </w:t>
      </w:r>
      <w:r>
        <w:rPr>
          <w:rFonts w:ascii="Times New Roman" w:hAnsi="Times New Roman" w:cs="Times New Roman"/>
          <w:b/>
          <w:sz w:val="24"/>
          <w:szCs w:val="24"/>
        </w:rPr>
        <w:t>of Various Funding Sources</w:t>
      </w:r>
    </w:p>
    <w:p w14:paraId="61D66D41" w14:textId="77777777" w:rsidR="001C3175" w:rsidRPr="008E0064" w:rsidRDefault="001C3175" w:rsidP="00033F08">
      <w:pPr>
        <w:spacing w:line="480" w:lineRule="auto"/>
        <w:jc w:val="both"/>
        <w:rPr>
          <w:rFonts w:ascii="Times New Roman" w:hAnsi="Times New Roman" w:cs="Times New Roman"/>
          <w:sz w:val="24"/>
          <w:szCs w:val="24"/>
        </w:rPr>
      </w:pPr>
      <w:r w:rsidRPr="008E0064">
        <w:rPr>
          <w:rFonts w:ascii="Times New Roman" w:hAnsi="Times New Roman" w:cs="Times New Roman"/>
          <w:sz w:val="24"/>
          <w:szCs w:val="24"/>
        </w:rPr>
        <w:t xml:space="preserve">In research, funding sources are a critical component of the study's outcome. Resnik (2000) asserts that there has been growing concern about the influence of financial interests and financing sources in research. Recent publications require writers to disclose the sources of financing for their research and disclose any potential conflicts of interest. While others have argued that conflicting interests could jeopardize research and outcomes, this analysis focuses exclusively on the average outcome by funding source. Our study identified the primary funding sources as public, university, private, and international, in descending order. For the purposes of this study, university sources of funding were defined as funding sources from a university or a department. While we recognize that these sources could ultimately come from public, private, or international sources, we stick with university sources because these were what was available and acknowledged during data extraction from the </w:t>
      </w:r>
      <w:proofErr w:type="spellStart"/>
      <w:r w:rsidRPr="008E0064">
        <w:rPr>
          <w:rFonts w:ascii="Times New Roman" w:hAnsi="Times New Roman" w:cs="Times New Roman"/>
          <w:sz w:val="24"/>
          <w:szCs w:val="24"/>
        </w:rPr>
        <w:t>analyzed</w:t>
      </w:r>
      <w:proofErr w:type="spellEnd"/>
      <w:r w:rsidRPr="008E0064">
        <w:rPr>
          <w:rFonts w:ascii="Times New Roman" w:hAnsi="Times New Roman" w:cs="Times New Roman"/>
          <w:sz w:val="24"/>
          <w:szCs w:val="24"/>
        </w:rPr>
        <w:t xml:space="preserve"> studies. Additionally, a study can be funded by multiple sources, with some studies disclosing no funding source at all, which has been incorporated into the analysis and discussion.</w:t>
      </w:r>
    </w:p>
    <w:p w14:paraId="7A2A3266" w14:textId="77777777" w:rsidR="001C3175" w:rsidRPr="008E0064" w:rsidRDefault="001C3175" w:rsidP="00033F08">
      <w:pPr>
        <w:spacing w:line="480" w:lineRule="auto"/>
        <w:jc w:val="both"/>
        <w:rPr>
          <w:rFonts w:ascii="Times New Roman" w:hAnsi="Times New Roman" w:cs="Times New Roman"/>
          <w:sz w:val="24"/>
          <w:szCs w:val="24"/>
        </w:rPr>
      </w:pPr>
      <w:r w:rsidRPr="008E0064">
        <w:rPr>
          <w:rFonts w:ascii="Times New Roman" w:hAnsi="Times New Roman" w:cs="Times New Roman"/>
          <w:sz w:val="24"/>
          <w:szCs w:val="24"/>
        </w:rPr>
        <w:t xml:space="preserve">61.14 percent of the research included in this meta-analysis were funded by public sources. This was followed by university funding, which accounted for 24.65 percent of studies, and business sector funding, which accounted for 10.14 percent. This is congruent with the reality that governments have been the largest source of funding for research and development since World War II (Resnik 2000), indicating the importance of balancing privately funded research </w:t>
      </w:r>
      <w:r w:rsidRPr="008E0064">
        <w:rPr>
          <w:rFonts w:ascii="Times New Roman" w:hAnsi="Times New Roman" w:cs="Times New Roman"/>
          <w:sz w:val="24"/>
          <w:szCs w:val="24"/>
        </w:rPr>
        <w:lastRenderedPageBreak/>
        <w:t>and increasing public input into government funding decisions. Our findings indicated that university-funded studies had the highest average outcome of 80.65 percent, showing that GBH had a detrimental influence. Additionally, 77.67 percent of studies supported by public monies proved that GBH was toxic to non-target organisms. Private financing funded 60.78 percent of research that found GBH had a negative effect on non-target organisms, which is a relatively low rate compared to other funding sources. This substantially higher outcome for funding sources compared to author of affiliation could be explained by the fact that public funds are important in financing, particularly co-financing, thus offsetting the effects of private funding.</w:t>
      </w:r>
    </w:p>
    <w:p w14:paraId="01154347" w14:textId="77777777" w:rsidR="00465419" w:rsidRDefault="001C3175" w:rsidP="00465419">
      <w:pPr>
        <w:keepNext/>
        <w:spacing w:line="480" w:lineRule="auto"/>
        <w:jc w:val="both"/>
      </w:pPr>
      <w:r w:rsidRPr="008E0064">
        <w:rPr>
          <w:rFonts w:ascii="Times New Roman" w:hAnsi="Times New Roman" w:cs="Times New Roman"/>
          <w:noProof/>
          <w:sz w:val="21"/>
          <w:szCs w:val="21"/>
        </w:rPr>
        <w:drawing>
          <wp:inline distT="0" distB="0" distL="0" distR="0" wp14:anchorId="59522CC5" wp14:editId="5F28EB48">
            <wp:extent cx="5734685" cy="3077155"/>
            <wp:effectExtent l="0" t="0" r="0" b="9525"/>
            <wp:docPr id="4" name="Picture 4" descr="C:\Users\kodjo.barnor\AppData\Local\Microsoft\Windows\INetCache\Content.MSO\7E73C6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odjo.barnor\AppData\Local\Microsoft\Windows\INetCache\Content.MSO\7E73C6F.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75271" cy="3098933"/>
                    </a:xfrm>
                    <a:prstGeom prst="rect">
                      <a:avLst/>
                    </a:prstGeom>
                    <a:noFill/>
                    <a:ln>
                      <a:noFill/>
                    </a:ln>
                  </pic:spPr>
                </pic:pic>
              </a:graphicData>
            </a:graphic>
          </wp:inline>
        </w:drawing>
      </w:r>
    </w:p>
    <w:p w14:paraId="6436F323" w14:textId="62C18B3D" w:rsidR="001C3175" w:rsidRDefault="00465419" w:rsidP="00465419">
      <w:pPr>
        <w:pStyle w:val="Caption"/>
        <w:jc w:val="both"/>
      </w:pPr>
      <w:r>
        <w:t xml:space="preserve">Figure </w:t>
      </w:r>
      <w:fldSimple w:instr=" SEQ Figure \* ARABIC ">
        <w:r>
          <w:rPr>
            <w:noProof/>
          </w:rPr>
          <w:t>2</w:t>
        </w:r>
      </w:fldSimple>
      <w:r>
        <w:t xml:space="preserve"> </w:t>
      </w:r>
      <w:r w:rsidRPr="00FD75DA">
        <w:t>Average Outcome of Various Funding Sources</w:t>
      </w:r>
    </w:p>
    <w:p w14:paraId="3196DAF9" w14:textId="77777777" w:rsidR="00465419" w:rsidRPr="008E0064" w:rsidRDefault="00465419" w:rsidP="00465419">
      <w:pPr>
        <w:spacing w:line="480" w:lineRule="auto"/>
        <w:jc w:val="both"/>
        <w:rPr>
          <w:rFonts w:ascii="Times New Roman" w:hAnsi="Times New Roman" w:cs="Times New Roman"/>
          <w:sz w:val="24"/>
          <w:szCs w:val="24"/>
        </w:rPr>
      </w:pPr>
      <w:r w:rsidRPr="008E0064">
        <w:rPr>
          <w:rFonts w:ascii="Times New Roman" w:hAnsi="Times New Roman" w:cs="Times New Roman"/>
          <w:sz w:val="24"/>
          <w:szCs w:val="24"/>
        </w:rPr>
        <w:t xml:space="preserve">In Figure 2, we also included a historical trend analysis of the average outcome for the various major financing sources. Prior to 2000, university and public sources tended to have high averages, implying that the majority of research had </w:t>
      </w:r>
      <w:proofErr w:type="spellStart"/>
      <w:r w:rsidRPr="008E0064">
        <w:rPr>
          <w:rFonts w:ascii="Times New Roman" w:hAnsi="Times New Roman" w:cs="Times New Roman"/>
          <w:sz w:val="24"/>
          <w:szCs w:val="24"/>
        </w:rPr>
        <w:t>unfavorable</w:t>
      </w:r>
      <w:proofErr w:type="spellEnd"/>
      <w:r w:rsidRPr="008E0064">
        <w:rPr>
          <w:rFonts w:ascii="Times New Roman" w:hAnsi="Times New Roman" w:cs="Times New Roman"/>
          <w:sz w:val="24"/>
          <w:szCs w:val="24"/>
        </w:rPr>
        <w:t xml:space="preserve"> outcomes, in contrast to private sources, which tended to have no negative effect. After 2000, the results have been mixed, but the increased trend in funding sources, particularly university and public monies, indicates that these funding sources are producing outputs revealing the adverse effect of GBH on non-target organisms. Private finance has seen a wave of volatility but is now converging </w:t>
      </w:r>
      <w:r w:rsidRPr="008E0064">
        <w:rPr>
          <w:rFonts w:ascii="Times New Roman" w:hAnsi="Times New Roman" w:cs="Times New Roman"/>
          <w:sz w:val="24"/>
          <w:szCs w:val="24"/>
        </w:rPr>
        <w:lastRenderedPageBreak/>
        <w:t>to the top, signalling a reversal of previous outcomes. These findings can be attributed to the pursuit of various objectives and motivations for sponsoring and conducting research, as demonstrated by the financing organizations in this case, a public institution and commercial organizations (Glenn &amp; Bruce 2021).</w:t>
      </w:r>
    </w:p>
    <w:p w14:paraId="234E5556" w14:textId="2A04657D" w:rsidR="008E0BE8" w:rsidRPr="008E0BE8" w:rsidRDefault="008E0BE8" w:rsidP="008E0BE8">
      <w:pPr>
        <w:spacing w:line="480" w:lineRule="auto"/>
        <w:jc w:val="both"/>
        <w:rPr>
          <w:rFonts w:ascii="Times New Roman" w:hAnsi="Times New Roman" w:cs="Times New Roman"/>
          <w:b/>
          <w:sz w:val="24"/>
          <w:szCs w:val="24"/>
        </w:rPr>
      </w:pPr>
      <w:r w:rsidRPr="008E0BE8">
        <w:rPr>
          <w:rFonts w:ascii="Times New Roman" w:hAnsi="Times New Roman" w:cs="Times New Roman"/>
          <w:b/>
          <w:sz w:val="24"/>
          <w:szCs w:val="24"/>
        </w:rPr>
        <w:t xml:space="preserve">Average Outcome </w:t>
      </w:r>
      <w:r>
        <w:rPr>
          <w:rFonts w:ascii="Times New Roman" w:hAnsi="Times New Roman" w:cs="Times New Roman"/>
          <w:b/>
          <w:sz w:val="24"/>
          <w:szCs w:val="24"/>
        </w:rPr>
        <w:t xml:space="preserve">of </w:t>
      </w:r>
      <w:r>
        <w:rPr>
          <w:rFonts w:ascii="Times New Roman" w:hAnsi="Times New Roman" w:cs="Times New Roman"/>
          <w:b/>
          <w:sz w:val="24"/>
          <w:szCs w:val="24"/>
        </w:rPr>
        <w:t>Countries</w:t>
      </w:r>
    </w:p>
    <w:p w14:paraId="2B1A68FF" w14:textId="6F566E42" w:rsidR="001C3175" w:rsidRPr="008E0064" w:rsidRDefault="001C3175" w:rsidP="00033F08">
      <w:pPr>
        <w:spacing w:line="480" w:lineRule="auto"/>
        <w:jc w:val="both"/>
        <w:rPr>
          <w:rFonts w:ascii="Times New Roman" w:hAnsi="Times New Roman" w:cs="Times New Roman"/>
          <w:sz w:val="24"/>
          <w:szCs w:val="24"/>
        </w:rPr>
      </w:pPr>
      <w:r w:rsidRPr="008E0064">
        <w:rPr>
          <w:rFonts w:ascii="Times New Roman" w:hAnsi="Times New Roman" w:cs="Times New Roman"/>
          <w:sz w:val="24"/>
          <w:szCs w:val="24"/>
        </w:rPr>
        <w:t xml:space="preserve">Some countries stood out for their productive research into the effects of GBH. The country of origin was defined as the country in which the study was conducted, even if the authors were from a different country. Brazil was the top country, accounting for 102 (20.3 %) of the papers evaluated. Argentina (79; 15.7 </w:t>
      </w:r>
      <w:r w:rsidR="008E0BE8" w:rsidRPr="008E0064">
        <w:rPr>
          <w:rFonts w:ascii="Times New Roman" w:hAnsi="Times New Roman" w:cs="Times New Roman"/>
          <w:sz w:val="24"/>
          <w:szCs w:val="24"/>
        </w:rPr>
        <w:t>%)</w:t>
      </w:r>
      <w:r w:rsidRPr="008E0064">
        <w:rPr>
          <w:rFonts w:ascii="Times New Roman" w:hAnsi="Times New Roman" w:cs="Times New Roman"/>
          <w:sz w:val="24"/>
          <w:szCs w:val="24"/>
        </w:rPr>
        <w:t xml:space="preserve">, the United States of America (63; 12 </w:t>
      </w:r>
      <w:r w:rsidR="008E0BE8" w:rsidRPr="008E0064">
        <w:rPr>
          <w:rFonts w:ascii="Times New Roman" w:hAnsi="Times New Roman" w:cs="Times New Roman"/>
          <w:sz w:val="24"/>
          <w:szCs w:val="24"/>
        </w:rPr>
        <w:t>%)</w:t>
      </w:r>
      <w:r w:rsidRPr="008E0064">
        <w:rPr>
          <w:rFonts w:ascii="Times New Roman" w:hAnsi="Times New Roman" w:cs="Times New Roman"/>
          <w:sz w:val="24"/>
          <w:szCs w:val="24"/>
        </w:rPr>
        <w:t xml:space="preserve">, Canada (30; </w:t>
      </w:r>
      <w:r w:rsidR="008E0BE8" w:rsidRPr="008E0064">
        <w:rPr>
          <w:rFonts w:ascii="Times New Roman" w:hAnsi="Times New Roman" w:cs="Times New Roman"/>
          <w:sz w:val="24"/>
          <w:szCs w:val="24"/>
        </w:rPr>
        <w:t>%)</w:t>
      </w:r>
      <w:r w:rsidRPr="008E0064">
        <w:rPr>
          <w:rFonts w:ascii="Times New Roman" w:hAnsi="Times New Roman" w:cs="Times New Roman"/>
          <w:sz w:val="24"/>
          <w:szCs w:val="24"/>
        </w:rPr>
        <w:t>, and France (24; 4.8</w:t>
      </w:r>
      <w:r w:rsidR="008E0BE8" w:rsidRPr="008E0064">
        <w:rPr>
          <w:rFonts w:ascii="Times New Roman" w:hAnsi="Times New Roman" w:cs="Times New Roman"/>
          <w:sz w:val="24"/>
          <w:szCs w:val="24"/>
        </w:rPr>
        <w:t>%)</w:t>
      </w:r>
      <w:r w:rsidRPr="008E0064">
        <w:rPr>
          <w:rFonts w:ascii="Times New Roman" w:hAnsi="Times New Roman" w:cs="Times New Roman"/>
          <w:sz w:val="24"/>
          <w:szCs w:val="24"/>
        </w:rPr>
        <w:t xml:space="preserve"> rounded out the top five leading countries. </w:t>
      </w:r>
      <w:proofErr w:type="spellStart"/>
      <w:r w:rsidRPr="008E0064">
        <w:rPr>
          <w:rFonts w:ascii="Times New Roman" w:hAnsi="Times New Roman" w:cs="Times New Roman"/>
          <w:sz w:val="24"/>
          <w:szCs w:val="24"/>
        </w:rPr>
        <w:t>Zyoud</w:t>
      </w:r>
      <w:proofErr w:type="spellEnd"/>
      <w:r w:rsidRPr="008E0064">
        <w:rPr>
          <w:rFonts w:ascii="Times New Roman" w:hAnsi="Times New Roman" w:cs="Times New Roman"/>
          <w:sz w:val="24"/>
          <w:szCs w:val="24"/>
        </w:rPr>
        <w:t xml:space="preserve"> et al. (2016) found these five countries as the major producers of research into glyphosate safety in their bibliometric analysis, albeit in a different order. India had the highest average outcome of 90%, followed by Argentina, France, China, and Brazil with 88.61 %, 87.5 %, 86.36 %, and 80.39 % of studies revealing GBH had detrimental impacts, respectively. The remaining top ten most productive countries had over 70% of research suggesting detrimental effects, except for the USA and Canada, which had 55.55 % and 43.33 % of studies indicating adverse effects on non-target organisms, respectively.</w:t>
      </w:r>
    </w:p>
    <w:p w14:paraId="2F3ACBF7" w14:textId="6E53FB85" w:rsidR="001C3175" w:rsidRPr="008E0064" w:rsidRDefault="001C3175" w:rsidP="00033F08">
      <w:pPr>
        <w:spacing w:line="480" w:lineRule="auto"/>
        <w:jc w:val="both"/>
        <w:rPr>
          <w:rFonts w:ascii="Times New Roman" w:hAnsi="Times New Roman" w:cs="Times New Roman"/>
          <w:sz w:val="24"/>
          <w:szCs w:val="24"/>
        </w:rPr>
      </w:pPr>
      <w:r w:rsidRPr="008E0064">
        <w:rPr>
          <w:rFonts w:ascii="Times New Roman" w:hAnsi="Times New Roman" w:cs="Times New Roman"/>
          <w:sz w:val="24"/>
          <w:szCs w:val="24"/>
        </w:rPr>
        <w:t xml:space="preserve">To gain additional insight, we studied the average outcome for nations in two time periods, prior to and following 2010, and showed the results in Figure 3 with countries scaled by the </w:t>
      </w:r>
      <w:r w:rsidR="008E0BE8">
        <w:rPr>
          <w:rFonts w:ascii="Times New Roman" w:hAnsi="Times New Roman" w:cs="Times New Roman"/>
          <w:sz w:val="24"/>
          <w:szCs w:val="24"/>
        </w:rPr>
        <w:t>average impact factor of studies conducted in the countries</w:t>
      </w:r>
      <w:r w:rsidRPr="008E0064">
        <w:rPr>
          <w:rFonts w:ascii="Times New Roman" w:hAnsi="Times New Roman" w:cs="Times New Roman"/>
          <w:sz w:val="24"/>
          <w:szCs w:val="24"/>
        </w:rPr>
        <w:t xml:space="preserve">. According to our analysis, the majority of countries in the top ten have shifted slightly upward, showing a shift in the outcome of research following 2010. Among these is the instance of the United States of America and Canada; previous to 2010, the United States of America recorded only 25% of its research as having a harmful effect, compared to 69.77 % after 2010. Canada also noted an increase in the </w:t>
      </w:r>
      <w:r w:rsidRPr="008E0064">
        <w:rPr>
          <w:rFonts w:ascii="Times New Roman" w:hAnsi="Times New Roman" w:cs="Times New Roman"/>
          <w:sz w:val="24"/>
          <w:szCs w:val="24"/>
        </w:rPr>
        <w:lastRenderedPageBreak/>
        <w:t>proportion of studies reporting harmful impacts, from 37.5% prior to 2010 to 45.45% following 2010.</w:t>
      </w:r>
    </w:p>
    <w:p w14:paraId="0C5C8514" w14:textId="77777777" w:rsidR="00465419" w:rsidRDefault="00075B1C" w:rsidP="00465419">
      <w:pPr>
        <w:keepNext/>
        <w:spacing w:line="480" w:lineRule="auto"/>
        <w:jc w:val="center"/>
      </w:pPr>
      <w:r>
        <w:rPr>
          <w:noProof/>
        </w:rPr>
        <w:drawing>
          <wp:inline distT="0" distB="0" distL="0" distR="0" wp14:anchorId="182FE7A5" wp14:editId="3FB7F5A7">
            <wp:extent cx="5731510" cy="2362681"/>
            <wp:effectExtent l="0" t="0" r="2540" b="0"/>
            <wp:docPr id="1" name="Picture 1" descr="C:\Users\kodjo.barnor\AppData\Local\Microsoft\Windows\INetCache\Content.MSO\6FAAAA4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odjo.barnor\AppData\Local\Microsoft\Windows\INetCache\Content.MSO\6FAAAA4F.t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362681"/>
                    </a:xfrm>
                    <a:prstGeom prst="rect">
                      <a:avLst/>
                    </a:prstGeom>
                    <a:noFill/>
                    <a:ln>
                      <a:noFill/>
                    </a:ln>
                  </pic:spPr>
                </pic:pic>
              </a:graphicData>
            </a:graphic>
          </wp:inline>
        </w:drawing>
      </w:r>
    </w:p>
    <w:p w14:paraId="5DC8AB00" w14:textId="10D5E144" w:rsidR="00075B1C" w:rsidRDefault="00465419" w:rsidP="00465419">
      <w:pPr>
        <w:pStyle w:val="Caption"/>
        <w:rPr>
          <w:rFonts w:ascii="Times New Roman" w:hAnsi="Times New Roman" w:cs="Times New Roman"/>
        </w:rPr>
      </w:pPr>
      <w:r>
        <w:t xml:space="preserve">Figure </w:t>
      </w:r>
      <w:fldSimple w:instr=" SEQ Figure \* ARABIC ">
        <w:r>
          <w:rPr>
            <w:noProof/>
          </w:rPr>
          <w:t>3</w:t>
        </w:r>
      </w:fldSimple>
      <w:r>
        <w:t xml:space="preserve"> </w:t>
      </w:r>
      <w:r w:rsidRPr="00A77F86">
        <w:t xml:space="preserve">Average Outcome of </w:t>
      </w:r>
      <w:r>
        <w:t xml:space="preserve">Top 10 </w:t>
      </w:r>
      <w:r w:rsidRPr="00A77F86">
        <w:t>Countries</w:t>
      </w:r>
      <w:r>
        <w:t xml:space="preserve"> Scaled by Average Impact Factor of Journals of Studies</w:t>
      </w:r>
    </w:p>
    <w:p w14:paraId="261C429F" w14:textId="44C3324E" w:rsidR="008E0BE8" w:rsidRDefault="008E0BE8" w:rsidP="008E0BE8">
      <w:pPr>
        <w:spacing w:line="480" w:lineRule="auto"/>
        <w:jc w:val="both"/>
        <w:rPr>
          <w:rFonts w:ascii="Times New Roman" w:hAnsi="Times New Roman" w:cs="Times New Roman"/>
          <w:b/>
          <w:sz w:val="24"/>
          <w:szCs w:val="24"/>
        </w:rPr>
      </w:pPr>
      <w:r w:rsidRPr="008E0BE8">
        <w:rPr>
          <w:rFonts w:ascii="Times New Roman" w:hAnsi="Times New Roman" w:cs="Times New Roman"/>
          <w:b/>
          <w:sz w:val="24"/>
          <w:szCs w:val="24"/>
        </w:rPr>
        <w:t xml:space="preserve">Average Outcome </w:t>
      </w:r>
      <w:r>
        <w:rPr>
          <w:rFonts w:ascii="Times New Roman" w:hAnsi="Times New Roman" w:cs="Times New Roman"/>
          <w:b/>
          <w:sz w:val="24"/>
          <w:szCs w:val="24"/>
        </w:rPr>
        <w:t xml:space="preserve">of </w:t>
      </w:r>
      <w:r>
        <w:rPr>
          <w:rFonts w:ascii="Times New Roman" w:hAnsi="Times New Roman" w:cs="Times New Roman"/>
          <w:b/>
          <w:sz w:val="24"/>
          <w:szCs w:val="24"/>
        </w:rPr>
        <w:t>Journals</w:t>
      </w:r>
    </w:p>
    <w:p w14:paraId="74FA8A7C" w14:textId="76EFD655" w:rsidR="00465419" w:rsidRDefault="00633EE0" w:rsidP="00033F08">
      <w:pPr>
        <w:spacing w:line="480" w:lineRule="auto"/>
        <w:jc w:val="both"/>
        <w:rPr>
          <w:rFonts w:ascii="Times New Roman" w:hAnsi="Times New Roman" w:cs="Times New Roman"/>
          <w:sz w:val="24"/>
          <w:szCs w:val="24"/>
        </w:rPr>
      </w:pPr>
      <w:r w:rsidRPr="00633EE0">
        <w:rPr>
          <w:rFonts w:ascii="Times New Roman" w:hAnsi="Times New Roman" w:cs="Times New Roman"/>
          <w:sz w:val="24"/>
          <w:szCs w:val="24"/>
        </w:rPr>
        <w:t xml:space="preserve">The study </w:t>
      </w:r>
      <w:r>
        <w:rPr>
          <w:rFonts w:ascii="Times New Roman" w:hAnsi="Times New Roman" w:cs="Times New Roman"/>
          <w:sz w:val="24"/>
          <w:szCs w:val="24"/>
        </w:rPr>
        <w:t xml:space="preserve">investigated the average outcome for journal of publications. In doing so, </w:t>
      </w:r>
      <w:r w:rsidR="001C3175" w:rsidRPr="008E0064">
        <w:rPr>
          <w:rFonts w:ascii="Times New Roman" w:hAnsi="Times New Roman" w:cs="Times New Roman"/>
          <w:sz w:val="24"/>
          <w:szCs w:val="24"/>
        </w:rPr>
        <w:t xml:space="preserve">it is critical to examine the journals that published the most papers included in this meta-analysis. The top five leading journals were Ecotoxicology and Environmental Safety (7.4%), Bulletin of Environmental Contamination and Toxicology (6.4 %), Aquatic Toxicology (4.6 %), Environmental Toxicology and Pharmacology (4.6%), and Planta </w:t>
      </w:r>
      <w:proofErr w:type="spellStart"/>
      <w:r w:rsidR="001C3175" w:rsidRPr="008E0064">
        <w:rPr>
          <w:rFonts w:ascii="Times New Roman" w:hAnsi="Times New Roman" w:cs="Times New Roman"/>
          <w:sz w:val="24"/>
          <w:szCs w:val="24"/>
        </w:rPr>
        <w:t>Daninha</w:t>
      </w:r>
      <w:proofErr w:type="spellEnd"/>
      <w:r w:rsidR="001C3175" w:rsidRPr="008E0064">
        <w:rPr>
          <w:rFonts w:ascii="Times New Roman" w:hAnsi="Times New Roman" w:cs="Times New Roman"/>
          <w:sz w:val="24"/>
          <w:szCs w:val="24"/>
        </w:rPr>
        <w:t xml:space="preserve"> (4.6%). </w:t>
      </w:r>
      <w:proofErr w:type="spellStart"/>
      <w:r w:rsidR="001C3175" w:rsidRPr="008E0064">
        <w:rPr>
          <w:rFonts w:ascii="Times New Roman" w:hAnsi="Times New Roman" w:cs="Times New Roman"/>
          <w:sz w:val="24"/>
          <w:szCs w:val="24"/>
        </w:rPr>
        <w:t>Zyoud</w:t>
      </w:r>
      <w:proofErr w:type="spellEnd"/>
      <w:r w:rsidR="001C3175" w:rsidRPr="008E0064">
        <w:rPr>
          <w:rFonts w:ascii="Times New Roman" w:hAnsi="Times New Roman" w:cs="Times New Roman"/>
          <w:sz w:val="24"/>
          <w:szCs w:val="24"/>
        </w:rPr>
        <w:t xml:space="preserve"> et al. (2016) found four of these top five journals as the most productive in their bibliometric analysis of GBH global intoxication research production from 1978 to 2015. </w:t>
      </w:r>
    </w:p>
    <w:p w14:paraId="63687EED" w14:textId="77777777" w:rsidR="00E818EF" w:rsidRPr="008E0064" w:rsidRDefault="00E818EF" w:rsidP="00E818EF">
      <w:pPr>
        <w:spacing w:line="480" w:lineRule="auto"/>
        <w:jc w:val="both"/>
        <w:rPr>
          <w:rFonts w:ascii="Times New Roman" w:hAnsi="Times New Roman" w:cs="Times New Roman"/>
          <w:sz w:val="24"/>
          <w:szCs w:val="24"/>
        </w:rPr>
      </w:pPr>
      <w:r w:rsidRPr="008E0064">
        <w:rPr>
          <w:rFonts w:ascii="Times New Roman" w:hAnsi="Times New Roman" w:cs="Times New Roman"/>
          <w:sz w:val="24"/>
          <w:szCs w:val="24"/>
        </w:rPr>
        <w:t xml:space="preserve">Additionally, we investigated the average outcome for the top journals in two time periods, prior to and following 2010, and showed the results in Figure 4 with journals scaled by the </w:t>
      </w:r>
      <w:r>
        <w:rPr>
          <w:rFonts w:ascii="Times New Roman" w:hAnsi="Times New Roman" w:cs="Times New Roman"/>
          <w:sz w:val="24"/>
          <w:szCs w:val="24"/>
        </w:rPr>
        <w:t>impact factor of the journal</w:t>
      </w:r>
      <w:r w:rsidRPr="008E0064">
        <w:rPr>
          <w:rFonts w:ascii="Times New Roman" w:hAnsi="Times New Roman" w:cs="Times New Roman"/>
          <w:sz w:val="24"/>
          <w:szCs w:val="24"/>
        </w:rPr>
        <w:t>. According to our analysis, the majority of top journals increased somewhat in terms of the number of observations in the meta-analysis, indicating a change in the outcome of research following 2010, just as other metrics examined in this study did.</w:t>
      </w:r>
    </w:p>
    <w:p w14:paraId="69FE7F5A" w14:textId="77777777" w:rsidR="00E818EF" w:rsidRDefault="00E818EF" w:rsidP="00033F08">
      <w:pPr>
        <w:spacing w:line="480" w:lineRule="auto"/>
        <w:jc w:val="both"/>
        <w:rPr>
          <w:rFonts w:ascii="Times New Roman" w:hAnsi="Times New Roman" w:cs="Times New Roman"/>
          <w:sz w:val="24"/>
          <w:szCs w:val="24"/>
        </w:rPr>
      </w:pPr>
    </w:p>
    <w:p w14:paraId="3676A40A" w14:textId="77777777" w:rsidR="00465419" w:rsidRDefault="00075B1C" w:rsidP="00465419">
      <w:pPr>
        <w:keepNext/>
        <w:spacing w:line="480" w:lineRule="auto"/>
        <w:jc w:val="both"/>
      </w:pPr>
      <w:r>
        <w:rPr>
          <w:noProof/>
        </w:rPr>
        <w:lastRenderedPageBreak/>
        <w:drawing>
          <wp:inline distT="0" distB="0" distL="0" distR="0" wp14:anchorId="39BD3F46" wp14:editId="059546A6">
            <wp:extent cx="5731510" cy="2362681"/>
            <wp:effectExtent l="0" t="0" r="2540" b="0"/>
            <wp:docPr id="2" name="Picture 2" descr="C:\Users\kodjo.barnor\AppData\Local\Microsoft\Windows\INetCache\Content.MSO\6740383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odjo.barnor\AppData\Local\Microsoft\Windows\INetCache\Content.MSO\67403835.tm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362681"/>
                    </a:xfrm>
                    <a:prstGeom prst="rect">
                      <a:avLst/>
                    </a:prstGeom>
                    <a:noFill/>
                    <a:ln>
                      <a:noFill/>
                    </a:ln>
                  </pic:spPr>
                </pic:pic>
              </a:graphicData>
            </a:graphic>
          </wp:inline>
        </w:drawing>
      </w:r>
    </w:p>
    <w:p w14:paraId="5A28D4C9" w14:textId="59DB0795" w:rsidR="00075B1C" w:rsidRDefault="00465419" w:rsidP="00465419">
      <w:pPr>
        <w:pStyle w:val="Caption"/>
        <w:jc w:val="both"/>
        <w:rPr>
          <w:rFonts w:ascii="Times New Roman" w:hAnsi="Times New Roman" w:cs="Times New Roman"/>
          <w:sz w:val="24"/>
          <w:szCs w:val="24"/>
        </w:rPr>
      </w:pPr>
      <w:r>
        <w:t xml:space="preserve">Figure </w:t>
      </w:r>
      <w:fldSimple w:instr=" SEQ Figure \* ARABIC ">
        <w:r>
          <w:rPr>
            <w:noProof/>
          </w:rPr>
          <w:t>4</w:t>
        </w:r>
      </w:fldSimple>
      <w:r>
        <w:t xml:space="preserve"> Average Outcome for Top 10 Most Observed Journals Scaled by Average Impact Factor</w:t>
      </w:r>
    </w:p>
    <w:p w14:paraId="78787F09" w14:textId="6B8C31DF" w:rsidR="00A067D0" w:rsidRDefault="00633EE0" w:rsidP="00033F08">
      <w:pPr>
        <w:spacing w:line="480" w:lineRule="auto"/>
        <w:jc w:val="both"/>
        <w:rPr>
          <w:rFonts w:ascii="Times New Roman" w:hAnsi="Times New Roman" w:cs="Times New Roman"/>
          <w:color w:val="FF0000"/>
          <w:sz w:val="24"/>
          <w:szCs w:val="24"/>
        </w:rPr>
      </w:pPr>
      <w:r w:rsidRPr="00170CB1">
        <w:rPr>
          <w:rFonts w:ascii="Times New Roman" w:hAnsi="Times New Roman" w:cs="Times New Roman"/>
          <w:color w:val="FF0000"/>
          <w:sz w:val="24"/>
          <w:szCs w:val="24"/>
        </w:rPr>
        <w:t xml:space="preserve">To provide more general insight for all the papers included for the study, figure 5 was computed which presents studies by the impact </w:t>
      </w:r>
      <w:r w:rsidR="00A067D0" w:rsidRPr="00170CB1">
        <w:rPr>
          <w:rFonts w:ascii="Times New Roman" w:hAnsi="Times New Roman" w:cs="Times New Roman"/>
          <w:color w:val="FF0000"/>
          <w:sz w:val="24"/>
          <w:szCs w:val="24"/>
        </w:rPr>
        <w:t xml:space="preserve">factor of journals in which they were published </w:t>
      </w:r>
      <w:r w:rsidRPr="00170CB1">
        <w:rPr>
          <w:rFonts w:ascii="Times New Roman" w:hAnsi="Times New Roman" w:cs="Times New Roman"/>
          <w:color w:val="FF0000"/>
          <w:sz w:val="24"/>
          <w:szCs w:val="24"/>
        </w:rPr>
        <w:t xml:space="preserve">for two-time frames (before 2010 and after 2010) by the general outcomes. This provides insight on the outcome per the influence of the journal being published in. </w:t>
      </w:r>
      <w:r w:rsidR="00A067D0" w:rsidRPr="00170CB1">
        <w:rPr>
          <w:rFonts w:ascii="Times New Roman" w:hAnsi="Times New Roman" w:cs="Times New Roman"/>
          <w:color w:val="FF0000"/>
          <w:sz w:val="24"/>
          <w:szCs w:val="24"/>
        </w:rPr>
        <w:t>The impact factor of a journal is a good measure of the quality and impact of the journal. The journals with the highest impact factors whose papers were considered for the meta-analysis include, Proceedings of the National Academy of Sciences (9.423), Journal of the National Cancer Institute (9.702), Water Research (9.15), Environmental Health Perspectives (8.326), and Environment International. These were high impact journals in their field. Publications in such journals are considered to be from authorities in a field and contribute to knowledge in that field.</w:t>
      </w:r>
    </w:p>
    <w:p w14:paraId="5F35E62C" w14:textId="77777777" w:rsidR="00E818EF" w:rsidRPr="00170CB1" w:rsidRDefault="00E818EF" w:rsidP="00E818EF">
      <w:pPr>
        <w:spacing w:line="480" w:lineRule="auto"/>
        <w:jc w:val="both"/>
        <w:rPr>
          <w:rFonts w:ascii="Times New Roman" w:hAnsi="Times New Roman" w:cs="Times New Roman"/>
          <w:color w:val="FF0000"/>
          <w:sz w:val="24"/>
          <w:szCs w:val="24"/>
        </w:rPr>
      </w:pPr>
      <w:r w:rsidRPr="00170CB1">
        <w:rPr>
          <w:rFonts w:ascii="Times New Roman" w:hAnsi="Times New Roman" w:cs="Times New Roman"/>
          <w:color w:val="FF0000"/>
          <w:sz w:val="24"/>
          <w:szCs w:val="24"/>
        </w:rPr>
        <w:t xml:space="preserve">As consistent with earlier analysis outcomes of adverse effect were more and evenly spaced across impact factors from about 1.00 to 4.00. More studies from journals with impact factor between 0.00 (journals with no impact factor) and 1.00 recorded that GBH had no adverse effect to non-target organisms. After 4.00 impact factor 2 journals each recorded adverse and no adverse effect of GBH. </w:t>
      </w:r>
    </w:p>
    <w:p w14:paraId="31CC21B1" w14:textId="77777777" w:rsidR="00E818EF" w:rsidRPr="00170CB1" w:rsidRDefault="00E818EF" w:rsidP="00E818EF">
      <w:pPr>
        <w:spacing w:line="480" w:lineRule="auto"/>
        <w:jc w:val="both"/>
        <w:rPr>
          <w:rFonts w:ascii="Times New Roman" w:hAnsi="Times New Roman" w:cs="Times New Roman"/>
          <w:color w:val="FF0000"/>
          <w:sz w:val="24"/>
          <w:szCs w:val="24"/>
        </w:rPr>
      </w:pPr>
      <w:r w:rsidRPr="00170CB1">
        <w:rPr>
          <w:rFonts w:ascii="Times New Roman" w:hAnsi="Times New Roman" w:cs="Times New Roman"/>
          <w:color w:val="FF0000"/>
          <w:sz w:val="24"/>
          <w:szCs w:val="24"/>
        </w:rPr>
        <w:lastRenderedPageBreak/>
        <w:t>After 2010, it can be concluded that studies on impact of GBH were published in higher impact journals since it had become a topical issue of scientific concern. Studies concluding that GBH had adverse effects where evenly distributed in journals with impact factor from 0.00 to about 5.00 after which few studies from 5.00 to 7.00 and 3 studies from journals with impact factor above 7 recorded adverse effect. Studies with no adverse effect were also evenly distributed even though less dense from journals with impact factors 0.00 to about 6.00 after which 4 studies were published in journals with impact factor between 7.00 and 9.00. Figure 5 provides the distribution of this analysis which shows no identifiable pattern.</w:t>
      </w:r>
    </w:p>
    <w:p w14:paraId="0E2892B8" w14:textId="77777777" w:rsidR="00465419" w:rsidRPr="00170CB1" w:rsidRDefault="000911D0" w:rsidP="00465419">
      <w:pPr>
        <w:keepNext/>
        <w:spacing w:line="480" w:lineRule="auto"/>
        <w:jc w:val="both"/>
        <w:rPr>
          <w:color w:val="FF0000"/>
        </w:rPr>
      </w:pPr>
      <w:bookmarkStart w:id="1" w:name="_GoBack"/>
      <w:bookmarkEnd w:id="1"/>
      <w:r w:rsidRPr="00170CB1">
        <w:rPr>
          <w:noProof/>
          <w:color w:val="FF0000"/>
          <w:sz w:val="21"/>
          <w:szCs w:val="21"/>
        </w:rPr>
        <w:drawing>
          <wp:inline distT="0" distB="0" distL="0" distR="0" wp14:anchorId="7AA3F96C" wp14:editId="015C2EC5">
            <wp:extent cx="5731510" cy="2721610"/>
            <wp:effectExtent l="0" t="0" r="2540" b="2540"/>
            <wp:docPr id="6" name="Picture 6" descr="C:\Users\kodjo.barnor\AppData\Local\Microsoft\Windows\INetCache\Content.MSO\A2BF765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odjo.barnor\AppData\Local\Microsoft\Windows\INetCache\Content.MSO\A2BF7651.tm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721610"/>
                    </a:xfrm>
                    <a:prstGeom prst="rect">
                      <a:avLst/>
                    </a:prstGeom>
                    <a:noFill/>
                    <a:ln>
                      <a:noFill/>
                    </a:ln>
                  </pic:spPr>
                </pic:pic>
              </a:graphicData>
            </a:graphic>
          </wp:inline>
        </w:drawing>
      </w:r>
    </w:p>
    <w:p w14:paraId="1A193E4F" w14:textId="0963C5CB" w:rsidR="000911D0" w:rsidRPr="00170CB1" w:rsidRDefault="00465419" w:rsidP="00465419">
      <w:pPr>
        <w:pStyle w:val="Caption"/>
        <w:jc w:val="both"/>
        <w:rPr>
          <w:color w:val="FF0000"/>
        </w:rPr>
      </w:pPr>
      <w:r w:rsidRPr="00170CB1">
        <w:rPr>
          <w:color w:val="FF0000"/>
        </w:rPr>
        <w:t xml:space="preserve">Figure </w:t>
      </w:r>
      <w:r w:rsidRPr="00170CB1">
        <w:rPr>
          <w:color w:val="FF0000"/>
        </w:rPr>
        <w:fldChar w:fldCharType="begin"/>
      </w:r>
      <w:r w:rsidRPr="00170CB1">
        <w:rPr>
          <w:color w:val="FF0000"/>
        </w:rPr>
        <w:instrText xml:space="preserve"> SEQ Figure \* ARABIC </w:instrText>
      </w:r>
      <w:r w:rsidRPr="00170CB1">
        <w:rPr>
          <w:color w:val="FF0000"/>
        </w:rPr>
        <w:fldChar w:fldCharType="separate"/>
      </w:r>
      <w:r w:rsidRPr="00170CB1">
        <w:rPr>
          <w:noProof/>
          <w:color w:val="FF0000"/>
        </w:rPr>
        <w:t>5</w:t>
      </w:r>
      <w:r w:rsidRPr="00170CB1">
        <w:rPr>
          <w:color w:val="FF0000"/>
        </w:rPr>
        <w:fldChar w:fldCharType="end"/>
      </w:r>
      <w:r w:rsidRPr="00170CB1">
        <w:rPr>
          <w:color w:val="FF0000"/>
        </w:rPr>
        <w:t xml:space="preserve"> General Outcome for Studies and the Impact Factor of Journals Published in</w:t>
      </w:r>
    </w:p>
    <w:p w14:paraId="086857C2" w14:textId="4916A431" w:rsidR="000911D0" w:rsidRPr="00170CB1" w:rsidRDefault="00465419" w:rsidP="008E0BE8">
      <w:pPr>
        <w:spacing w:line="480" w:lineRule="auto"/>
        <w:jc w:val="both"/>
        <w:rPr>
          <w:rFonts w:ascii="Times New Roman" w:hAnsi="Times New Roman" w:cs="Times New Roman"/>
          <w:color w:val="FF0000"/>
          <w:sz w:val="24"/>
          <w:szCs w:val="24"/>
        </w:rPr>
      </w:pPr>
      <w:r w:rsidRPr="00170CB1">
        <w:rPr>
          <w:rFonts w:ascii="Times New Roman" w:hAnsi="Times New Roman" w:cs="Times New Roman"/>
          <w:color w:val="FF0000"/>
          <w:sz w:val="24"/>
          <w:szCs w:val="24"/>
        </w:rPr>
        <w:t xml:space="preserve">According to </w:t>
      </w:r>
      <w:proofErr w:type="spellStart"/>
      <w:r w:rsidRPr="00170CB1">
        <w:rPr>
          <w:rFonts w:ascii="Times New Roman" w:hAnsi="Times New Roman" w:cs="Times New Roman"/>
          <w:color w:val="FF0000"/>
          <w:sz w:val="24"/>
          <w:szCs w:val="24"/>
        </w:rPr>
        <w:t>Aksnes</w:t>
      </w:r>
      <w:proofErr w:type="spellEnd"/>
      <w:r w:rsidRPr="00170CB1">
        <w:rPr>
          <w:rFonts w:ascii="Times New Roman" w:hAnsi="Times New Roman" w:cs="Times New Roman"/>
          <w:color w:val="FF0000"/>
          <w:sz w:val="24"/>
          <w:szCs w:val="24"/>
        </w:rPr>
        <w:t xml:space="preserve"> et al (2019), the number of citations is a good measure of the quality, importance, and impact of research or study in a field of study. The mean number of citations for the studies included in the study was 44, the least cited studies had no citation at all, and the highest being 691 citations, this meant the number of citations of the articles used in the current study were fairly cited. It is however important to note that the median number of citations was 17 which is much lower than the mean and presents a better estimation of central tendency due to a few studies having very high citations.</w:t>
      </w:r>
      <w:r w:rsidRPr="00170CB1">
        <w:rPr>
          <w:rFonts w:ascii="Times New Roman" w:hAnsi="Times New Roman" w:cs="Times New Roman"/>
          <w:color w:val="FF0000"/>
          <w:sz w:val="24"/>
          <w:szCs w:val="24"/>
        </w:rPr>
        <w:t xml:space="preserve"> From 6, the most cited papers were recorded adverse effect of GBH on non-target organisms during both time frames considered </w:t>
      </w:r>
      <w:r w:rsidRPr="00170CB1">
        <w:rPr>
          <w:rFonts w:ascii="Times New Roman" w:hAnsi="Times New Roman" w:cs="Times New Roman"/>
          <w:color w:val="FF0000"/>
          <w:sz w:val="24"/>
          <w:szCs w:val="24"/>
        </w:rPr>
        <w:lastRenderedPageBreak/>
        <w:t xml:space="preserve">for the studies. This could be partially considered as papers which provided robust procedures, and conclusions to point that GBH had adverse effect received more attention from peers and hence were cited more often. </w:t>
      </w:r>
    </w:p>
    <w:p w14:paraId="5B08791E" w14:textId="77777777" w:rsidR="00465419" w:rsidRPr="00170CB1" w:rsidRDefault="00075B1C" w:rsidP="00465419">
      <w:pPr>
        <w:pStyle w:val="HTMLPreformatted"/>
        <w:keepNext/>
        <w:shd w:val="clear" w:color="auto" w:fill="FFFFFF"/>
        <w:wordWrap w:val="0"/>
        <w:spacing w:line="480" w:lineRule="auto"/>
        <w:textAlignment w:val="baseline"/>
        <w:rPr>
          <w:color w:val="FF0000"/>
        </w:rPr>
      </w:pPr>
      <w:r w:rsidRPr="00170CB1">
        <w:rPr>
          <w:noProof/>
          <w:color w:val="FF0000"/>
          <w:sz w:val="21"/>
          <w:szCs w:val="21"/>
        </w:rPr>
        <w:drawing>
          <wp:inline distT="0" distB="0" distL="0" distR="0" wp14:anchorId="71B10821" wp14:editId="2A728328">
            <wp:extent cx="5731510" cy="2732010"/>
            <wp:effectExtent l="0" t="0" r="2540" b="0"/>
            <wp:docPr id="7" name="Picture 7" descr="C:\Users\kodjo.barnor\AppData\Local\Microsoft\Windows\INetCache\Content.MSO\67BB9D8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odjo.barnor\AppData\Local\Microsoft\Windows\INetCache\Content.MSO\67BB9D87.tmp"/>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2732010"/>
                    </a:xfrm>
                    <a:prstGeom prst="rect">
                      <a:avLst/>
                    </a:prstGeom>
                    <a:noFill/>
                    <a:ln>
                      <a:noFill/>
                    </a:ln>
                  </pic:spPr>
                </pic:pic>
              </a:graphicData>
            </a:graphic>
          </wp:inline>
        </w:drawing>
      </w:r>
    </w:p>
    <w:p w14:paraId="46E1E88C" w14:textId="6907BCD2" w:rsidR="00075B1C" w:rsidRPr="00170CB1" w:rsidRDefault="00465419" w:rsidP="00465419">
      <w:pPr>
        <w:pStyle w:val="Caption"/>
        <w:rPr>
          <w:rFonts w:ascii="Times New Roman" w:hAnsi="Times New Roman" w:cs="Times New Roman"/>
          <w:color w:val="FF0000"/>
          <w:sz w:val="21"/>
          <w:szCs w:val="21"/>
        </w:rPr>
      </w:pPr>
      <w:r w:rsidRPr="00170CB1">
        <w:rPr>
          <w:color w:val="FF0000"/>
        </w:rPr>
        <w:t xml:space="preserve">Figure </w:t>
      </w:r>
      <w:r w:rsidRPr="00170CB1">
        <w:rPr>
          <w:color w:val="FF0000"/>
        </w:rPr>
        <w:fldChar w:fldCharType="begin"/>
      </w:r>
      <w:r w:rsidRPr="00170CB1">
        <w:rPr>
          <w:color w:val="FF0000"/>
        </w:rPr>
        <w:instrText xml:space="preserve"> SEQ Figure \* ARABIC </w:instrText>
      </w:r>
      <w:r w:rsidRPr="00170CB1">
        <w:rPr>
          <w:color w:val="FF0000"/>
        </w:rPr>
        <w:fldChar w:fldCharType="separate"/>
      </w:r>
      <w:r w:rsidRPr="00170CB1">
        <w:rPr>
          <w:noProof/>
          <w:color w:val="FF0000"/>
        </w:rPr>
        <w:t>6</w:t>
      </w:r>
      <w:r w:rsidRPr="00170CB1">
        <w:rPr>
          <w:color w:val="FF0000"/>
        </w:rPr>
        <w:fldChar w:fldCharType="end"/>
      </w:r>
      <w:r w:rsidRPr="00170CB1">
        <w:rPr>
          <w:color w:val="FF0000"/>
        </w:rPr>
        <w:t xml:space="preserve"> General Outcome of Studies and their Number of Citations</w:t>
      </w:r>
    </w:p>
    <w:p w14:paraId="5CAC6D21" w14:textId="2A772631" w:rsidR="002276A1" w:rsidRDefault="002276A1">
      <w:pPr>
        <w:rPr>
          <w:rFonts w:ascii="Times New Roman" w:hAnsi="Times New Roman" w:cs="Times New Roman"/>
          <w:sz w:val="24"/>
          <w:szCs w:val="24"/>
          <w:lang w:val="en-US"/>
        </w:rPr>
      </w:pPr>
      <w:r>
        <w:rPr>
          <w:rFonts w:ascii="Times New Roman" w:hAnsi="Times New Roman" w:cs="Times New Roman"/>
          <w:sz w:val="24"/>
          <w:szCs w:val="24"/>
          <w:lang w:val="en-US"/>
        </w:rPr>
        <w:t>Results from DAGs</w:t>
      </w:r>
    </w:p>
    <w:p w14:paraId="2BD8E715" w14:textId="13CDE3E4" w:rsidR="002276A1" w:rsidRDefault="002276A1">
      <w:pPr>
        <w:rPr>
          <w:rFonts w:ascii="Times New Roman" w:hAnsi="Times New Roman" w:cs="Times New Roman"/>
          <w:sz w:val="24"/>
          <w:szCs w:val="24"/>
          <w:lang w:val="en-US"/>
        </w:rPr>
      </w:pPr>
      <w:r>
        <w:rPr>
          <w:rFonts w:ascii="Times New Roman" w:hAnsi="Times New Roman" w:cs="Times New Roman"/>
          <w:sz w:val="24"/>
          <w:szCs w:val="24"/>
          <w:lang w:val="en-US"/>
        </w:rPr>
        <w:t>Conclusions</w:t>
      </w:r>
      <w:r>
        <w:rPr>
          <w:rFonts w:ascii="Times New Roman" w:hAnsi="Times New Roman" w:cs="Times New Roman"/>
          <w:sz w:val="24"/>
          <w:szCs w:val="24"/>
          <w:lang w:val="en-US"/>
        </w:rPr>
        <w:br w:type="page"/>
      </w:r>
    </w:p>
    <w:p w14:paraId="67A1200A" w14:textId="2C2F40E2" w:rsidR="00A742D2" w:rsidRPr="008E0064" w:rsidRDefault="00A742D2" w:rsidP="00033F08">
      <w:pPr>
        <w:spacing w:line="480" w:lineRule="auto"/>
        <w:jc w:val="both"/>
        <w:rPr>
          <w:rFonts w:ascii="Times New Roman" w:hAnsi="Times New Roman" w:cs="Times New Roman"/>
          <w:sz w:val="24"/>
          <w:szCs w:val="24"/>
          <w:lang w:val="en-US"/>
        </w:rPr>
      </w:pPr>
      <w:r w:rsidRPr="008E0064">
        <w:rPr>
          <w:rFonts w:ascii="Times New Roman" w:hAnsi="Times New Roman" w:cs="Times New Roman"/>
          <w:sz w:val="24"/>
          <w:szCs w:val="24"/>
          <w:lang w:val="en-US"/>
        </w:rPr>
        <w:lastRenderedPageBreak/>
        <w:t>Data availability</w:t>
      </w:r>
    </w:p>
    <w:p w14:paraId="43CDAC2E" w14:textId="64E2B906" w:rsidR="00A742D2" w:rsidRPr="008E0064" w:rsidRDefault="00A742D2" w:rsidP="00033F08">
      <w:pPr>
        <w:spacing w:line="480" w:lineRule="auto"/>
        <w:jc w:val="both"/>
        <w:rPr>
          <w:rFonts w:ascii="Times New Roman" w:hAnsi="Times New Roman" w:cs="Times New Roman"/>
          <w:sz w:val="24"/>
          <w:szCs w:val="24"/>
          <w:lang w:val="en-US"/>
        </w:rPr>
      </w:pPr>
      <w:r w:rsidRPr="008E0064">
        <w:rPr>
          <w:rFonts w:ascii="Times New Roman" w:hAnsi="Times New Roman" w:cs="Times New Roman"/>
          <w:sz w:val="24"/>
          <w:szCs w:val="24"/>
          <w:lang w:val="en-US"/>
        </w:rPr>
        <w:t>Code availability</w:t>
      </w:r>
    </w:p>
    <w:p w14:paraId="68E0FEAF" w14:textId="05FDFD3E" w:rsidR="00A742D2" w:rsidRPr="008E0064" w:rsidRDefault="00A742D2" w:rsidP="00033F08">
      <w:pPr>
        <w:spacing w:line="480" w:lineRule="auto"/>
        <w:jc w:val="both"/>
        <w:rPr>
          <w:rFonts w:ascii="Times New Roman" w:hAnsi="Times New Roman" w:cs="Times New Roman"/>
          <w:sz w:val="24"/>
          <w:szCs w:val="24"/>
          <w:lang w:val="en-US"/>
        </w:rPr>
      </w:pPr>
      <w:r w:rsidRPr="008E0064">
        <w:rPr>
          <w:rFonts w:ascii="Times New Roman" w:hAnsi="Times New Roman" w:cs="Times New Roman"/>
          <w:sz w:val="24"/>
          <w:szCs w:val="24"/>
          <w:lang w:val="en-US"/>
        </w:rPr>
        <w:t>References</w:t>
      </w:r>
    </w:p>
    <w:p w14:paraId="7BE8EAD1" w14:textId="03DC08AA" w:rsidR="00A742D2" w:rsidRPr="008E0064" w:rsidRDefault="00A742D2" w:rsidP="00033F08">
      <w:pPr>
        <w:spacing w:line="480" w:lineRule="auto"/>
        <w:jc w:val="both"/>
        <w:rPr>
          <w:rFonts w:ascii="Times New Roman" w:hAnsi="Times New Roman" w:cs="Times New Roman"/>
          <w:sz w:val="24"/>
          <w:szCs w:val="24"/>
          <w:lang w:val="en-US"/>
        </w:rPr>
      </w:pPr>
      <w:r w:rsidRPr="008E0064">
        <w:rPr>
          <w:rFonts w:ascii="Times New Roman" w:hAnsi="Times New Roman" w:cs="Times New Roman"/>
          <w:sz w:val="24"/>
          <w:szCs w:val="24"/>
          <w:lang w:val="en-US"/>
        </w:rPr>
        <w:t>Acknowledgements</w:t>
      </w:r>
    </w:p>
    <w:p w14:paraId="75E3EC29" w14:textId="66A12F8D" w:rsidR="00A742D2" w:rsidRPr="008E0064" w:rsidRDefault="00A742D2" w:rsidP="00033F08">
      <w:pPr>
        <w:spacing w:line="480" w:lineRule="auto"/>
        <w:jc w:val="both"/>
        <w:rPr>
          <w:rFonts w:ascii="Times New Roman" w:hAnsi="Times New Roman" w:cs="Times New Roman"/>
          <w:sz w:val="24"/>
          <w:szCs w:val="24"/>
          <w:lang w:val="en-US"/>
        </w:rPr>
      </w:pPr>
      <w:r w:rsidRPr="008E0064">
        <w:rPr>
          <w:rFonts w:ascii="Times New Roman" w:hAnsi="Times New Roman" w:cs="Times New Roman"/>
          <w:sz w:val="24"/>
          <w:szCs w:val="24"/>
          <w:lang w:val="en-US"/>
        </w:rPr>
        <w:t>Author Information</w:t>
      </w:r>
    </w:p>
    <w:p w14:paraId="50AA26CA" w14:textId="020D7A86" w:rsidR="00A742D2" w:rsidRPr="008E0064" w:rsidRDefault="00A742D2" w:rsidP="00033F08">
      <w:pPr>
        <w:spacing w:line="480" w:lineRule="auto"/>
        <w:jc w:val="both"/>
        <w:rPr>
          <w:rFonts w:ascii="Times New Roman" w:hAnsi="Times New Roman" w:cs="Times New Roman"/>
          <w:sz w:val="24"/>
          <w:szCs w:val="24"/>
          <w:lang w:val="en-US"/>
        </w:rPr>
      </w:pPr>
      <w:r w:rsidRPr="008E0064">
        <w:rPr>
          <w:rFonts w:ascii="Times New Roman" w:hAnsi="Times New Roman" w:cs="Times New Roman"/>
          <w:sz w:val="24"/>
          <w:szCs w:val="24"/>
          <w:lang w:val="en-US"/>
        </w:rPr>
        <w:t>Ethics declarations</w:t>
      </w:r>
    </w:p>
    <w:p w14:paraId="5A2207A6" w14:textId="2F5049E2" w:rsidR="00A742D2" w:rsidRPr="008E0064" w:rsidRDefault="00A742D2" w:rsidP="00033F08">
      <w:pPr>
        <w:spacing w:line="480" w:lineRule="auto"/>
        <w:jc w:val="both"/>
        <w:rPr>
          <w:rFonts w:ascii="Times New Roman" w:hAnsi="Times New Roman" w:cs="Times New Roman"/>
          <w:sz w:val="24"/>
          <w:szCs w:val="24"/>
          <w:lang w:val="en-US"/>
        </w:rPr>
      </w:pPr>
      <w:r w:rsidRPr="008E0064">
        <w:rPr>
          <w:rFonts w:ascii="Times New Roman" w:hAnsi="Times New Roman" w:cs="Times New Roman"/>
          <w:sz w:val="24"/>
          <w:szCs w:val="24"/>
          <w:lang w:val="en-US"/>
        </w:rPr>
        <w:t>Additional Information</w:t>
      </w:r>
    </w:p>
    <w:p w14:paraId="362F414A" w14:textId="43B7E92F" w:rsidR="00A742D2" w:rsidRPr="008E0064" w:rsidRDefault="00A742D2" w:rsidP="00033F08">
      <w:pPr>
        <w:spacing w:line="480" w:lineRule="auto"/>
        <w:jc w:val="both"/>
        <w:rPr>
          <w:rFonts w:ascii="Times New Roman" w:hAnsi="Times New Roman" w:cs="Times New Roman"/>
          <w:sz w:val="24"/>
          <w:szCs w:val="24"/>
          <w:lang w:val="en-US"/>
        </w:rPr>
      </w:pPr>
      <w:r w:rsidRPr="008E0064">
        <w:rPr>
          <w:rFonts w:ascii="Times New Roman" w:hAnsi="Times New Roman" w:cs="Times New Roman"/>
          <w:sz w:val="24"/>
          <w:szCs w:val="24"/>
          <w:lang w:val="en-US"/>
        </w:rPr>
        <w:t>Extended data figures and tables</w:t>
      </w:r>
    </w:p>
    <w:p w14:paraId="01797AC8" w14:textId="49C9235F" w:rsidR="00A742D2" w:rsidRPr="008E0064" w:rsidRDefault="00A742D2" w:rsidP="00033F08">
      <w:pPr>
        <w:spacing w:line="480" w:lineRule="auto"/>
        <w:jc w:val="both"/>
        <w:rPr>
          <w:rFonts w:ascii="Times New Roman" w:hAnsi="Times New Roman" w:cs="Times New Roman"/>
          <w:sz w:val="24"/>
          <w:szCs w:val="24"/>
          <w:lang w:val="en-US"/>
        </w:rPr>
      </w:pPr>
      <w:r w:rsidRPr="008E0064">
        <w:rPr>
          <w:rFonts w:ascii="Times New Roman" w:hAnsi="Times New Roman" w:cs="Times New Roman"/>
          <w:sz w:val="24"/>
          <w:szCs w:val="24"/>
          <w:lang w:val="en-US"/>
        </w:rPr>
        <w:t>Supplementary information</w:t>
      </w:r>
    </w:p>
    <w:p w14:paraId="288E9B07" w14:textId="0B9952F7" w:rsidR="00A742D2" w:rsidRPr="008E0064" w:rsidRDefault="00A742D2" w:rsidP="00033F08">
      <w:pPr>
        <w:spacing w:line="480" w:lineRule="auto"/>
        <w:jc w:val="both"/>
        <w:rPr>
          <w:rFonts w:ascii="Times New Roman" w:hAnsi="Times New Roman" w:cs="Times New Roman"/>
          <w:sz w:val="24"/>
          <w:szCs w:val="24"/>
          <w:lang w:val="en-US"/>
        </w:rPr>
      </w:pPr>
      <w:r w:rsidRPr="008E0064">
        <w:rPr>
          <w:rFonts w:ascii="Times New Roman" w:hAnsi="Times New Roman" w:cs="Times New Roman"/>
          <w:sz w:val="24"/>
          <w:szCs w:val="24"/>
          <w:lang w:val="en-US"/>
        </w:rPr>
        <w:t>Rights and permissions</w:t>
      </w:r>
    </w:p>
    <w:p w14:paraId="1410924B" w14:textId="187B2043" w:rsidR="00A742D2" w:rsidRPr="008E0064" w:rsidRDefault="00A742D2" w:rsidP="00033F08">
      <w:pPr>
        <w:spacing w:line="480" w:lineRule="auto"/>
        <w:jc w:val="both"/>
        <w:rPr>
          <w:rFonts w:ascii="Times New Roman" w:hAnsi="Times New Roman" w:cs="Times New Roman"/>
          <w:sz w:val="24"/>
          <w:szCs w:val="24"/>
          <w:lang w:val="en-US"/>
        </w:rPr>
      </w:pPr>
      <w:r w:rsidRPr="008E0064">
        <w:rPr>
          <w:rFonts w:ascii="Times New Roman" w:hAnsi="Times New Roman" w:cs="Times New Roman"/>
          <w:sz w:val="24"/>
          <w:szCs w:val="24"/>
          <w:lang w:val="en-US"/>
        </w:rPr>
        <w:t>About this article</w:t>
      </w:r>
    </w:p>
    <w:p w14:paraId="46915B58" w14:textId="494164DA" w:rsidR="00A742D2" w:rsidRPr="008E0064" w:rsidRDefault="00A742D2" w:rsidP="00033F08">
      <w:pPr>
        <w:spacing w:line="480" w:lineRule="auto"/>
        <w:jc w:val="both"/>
        <w:rPr>
          <w:rFonts w:ascii="Times New Roman" w:hAnsi="Times New Roman" w:cs="Times New Roman"/>
          <w:sz w:val="24"/>
          <w:szCs w:val="24"/>
          <w:lang w:val="en-US"/>
        </w:rPr>
      </w:pPr>
      <w:r w:rsidRPr="008E0064">
        <w:rPr>
          <w:rFonts w:ascii="Times New Roman" w:hAnsi="Times New Roman" w:cs="Times New Roman"/>
          <w:sz w:val="24"/>
          <w:szCs w:val="24"/>
          <w:lang w:val="en-US"/>
        </w:rPr>
        <w:t>Comments</w:t>
      </w:r>
    </w:p>
    <w:sectPr w:rsidR="00A742D2" w:rsidRPr="008E0064" w:rsidSect="00D001D7">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7F6DCA" w14:textId="77777777" w:rsidR="00542928" w:rsidRDefault="00542928" w:rsidP="00FC24BC">
      <w:pPr>
        <w:spacing w:after="0" w:line="240" w:lineRule="auto"/>
      </w:pPr>
      <w:r>
        <w:separator/>
      </w:r>
    </w:p>
  </w:endnote>
  <w:endnote w:type="continuationSeparator" w:id="0">
    <w:p w14:paraId="3627682B" w14:textId="77777777" w:rsidR="00542928" w:rsidRDefault="00542928" w:rsidP="00FC24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89363732"/>
      <w:docPartObj>
        <w:docPartGallery w:val="Page Numbers (Bottom of Page)"/>
        <w:docPartUnique/>
      </w:docPartObj>
    </w:sdtPr>
    <w:sdtEndPr>
      <w:rPr>
        <w:noProof/>
      </w:rPr>
    </w:sdtEndPr>
    <w:sdtContent>
      <w:p w14:paraId="5C8BAC88" w14:textId="05030A59" w:rsidR="002056E6" w:rsidRDefault="002056E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BF624CA" w14:textId="77777777" w:rsidR="002056E6" w:rsidRDefault="002056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6C6F7A" w14:textId="77777777" w:rsidR="00542928" w:rsidRDefault="00542928" w:rsidP="00FC24BC">
      <w:pPr>
        <w:spacing w:after="0" w:line="240" w:lineRule="auto"/>
      </w:pPr>
      <w:r>
        <w:separator/>
      </w:r>
    </w:p>
  </w:footnote>
  <w:footnote w:type="continuationSeparator" w:id="0">
    <w:p w14:paraId="1DA72187" w14:textId="77777777" w:rsidR="00542928" w:rsidRDefault="00542928" w:rsidP="00FC24B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2D2"/>
    <w:rsid w:val="00012F5B"/>
    <w:rsid w:val="000137F3"/>
    <w:rsid w:val="00033F08"/>
    <w:rsid w:val="000402B8"/>
    <w:rsid w:val="00070FB5"/>
    <w:rsid w:val="00075B1C"/>
    <w:rsid w:val="000911D0"/>
    <w:rsid w:val="000B51AA"/>
    <w:rsid w:val="000C4A74"/>
    <w:rsid w:val="00165F12"/>
    <w:rsid w:val="00170CB1"/>
    <w:rsid w:val="00181B18"/>
    <w:rsid w:val="00185CA4"/>
    <w:rsid w:val="001C3175"/>
    <w:rsid w:val="001F5434"/>
    <w:rsid w:val="002056E6"/>
    <w:rsid w:val="002276A1"/>
    <w:rsid w:val="002411B8"/>
    <w:rsid w:val="00251577"/>
    <w:rsid w:val="002A7E00"/>
    <w:rsid w:val="002D2008"/>
    <w:rsid w:val="003A796D"/>
    <w:rsid w:val="00465419"/>
    <w:rsid w:val="00483255"/>
    <w:rsid w:val="0050611A"/>
    <w:rsid w:val="00542928"/>
    <w:rsid w:val="005F4C98"/>
    <w:rsid w:val="00633EE0"/>
    <w:rsid w:val="00665897"/>
    <w:rsid w:val="00834B2C"/>
    <w:rsid w:val="008506FF"/>
    <w:rsid w:val="008C0054"/>
    <w:rsid w:val="008D33F5"/>
    <w:rsid w:val="008E0064"/>
    <w:rsid w:val="008E0BE8"/>
    <w:rsid w:val="009009D9"/>
    <w:rsid w:val="009A6827"/>
    <w:rsid w:val="00A067D0"/>
    <w:rsid w:val="00A742D2"/>
    <w:rsid w:val="00AE11D6"/>
    <w:rsid w:val="00B665EA"/>
    <w:rsid w:val="00B91831"/>
    <w:rsid w:val="00C0528A"/>
    <w:rsid w:val="00C817E9"/>
    <w:rsid w:val="00CD40DF"/>
    <w:rsid w:val="00CE7E5F"/>
    <w:rsid w:val="00D001D7"/>
    <w:rsid w:val="00D30560"/>
    <w:rsid w:val="00D73100"/>
    <w:rsid w:val="00E818EF"/>
    <w:rsid w:val="00E85EF6"/>
    <w:rsid w:val="00EA376A"/>
    <w:rsid w:val="00F40C48"/>
    <w:rsid w:val="00F42F83"/>
    <w:rsid w:val="00F51A9E"/>
    <w:rsid w:val="00FC24BC"/>
    <w:rsid w:val="00FD059F"/>
    <w:rsid w:val="00FF7A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B6C5E"/>
  <w15:chartTrackingRefBased/>
  <w15:docId w15:val="{5C7D859B-79BE-48D7-BC66-8611AA15E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376A"/>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FC24B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C24BC"/>
    <w:rPr>
      <w:sz w:val="20"/>
      <w:szCs w:val="20"/>
    </w:rPr>
  </w:style>
  <w:style w:type="character" w:styleId="FootnoteReference">
    <w:name w:val="footnote reference"/>
    <w:basedOn w:val="DefaultParagraphFont"/>
    <w:uiPriority w:val="99"/>
    <w:semiHidden/>
    <w:unhideWhenUsed/>
    <w:rsid w:val="00FC24BC"/>
    <w:rPr>
      <w:vertAlign w:val="superscript"/>
    </w:rPr>
  </w:style>
  <w:style w:type="paragraph" w:styleId="EndnoteText">
    <w:name w:val="endnote text"/>
    <w:basedOn w:val="Normal"/>
    <w:link w:val="EndnoteTextChar"/>
    <w:uiPriority w:val="99"/>
    <w:semiHidden/>
    <w:unhideWhenUsed/>
    <w:rsid w:val="00B9183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91831"/>
    <w:rPr>
      <w:sz w:val="20"/>
      <w:szCs w:val="20"/>
    </w:rPr>
  </w:style>
  <w:style w:type="character" w:styleId="EndnoteReference">
    <w:name w:val="endnote reference"/>
    <w:basedOn w:val="DefaultParagraphFont"/>
    <w:uiPriority w:val="99"/>
    <w:semiHidden/>
    <w:unhideWhenUsed/>
    <w:rsid w:val="00B91831"/>
    <w:rPr>
      <w:vertAlign w:val="superscript"/>
    </w:rPr>
  </w:style>
  <w:style w:type="character" w:customStyle="1" w:styleId="Heading1Char">
    <w:name w:val="Heading 1 Char"/>
    <w:basedOn w:val="DefaultParagraphFont"/>
    <w:link w:val="Heading1"/>
    <w:uiPriority w:val="9"/>
    <w:rsid w:val="00EA376A"/>
    <w:rPr>
      <w:rFonts w:asciiTheme="majorHAnsi" w:eastAsiaTheme="majorEastAsia" w:hAnsiTheme="majorHAnsi" w:cstheme="majorBidi"/>
      <w:color w:val="2F5496" w:themeColor="accent1" w:themeShade="BF"/>
      <w:sz w:val="32"/>
      <w:szCs w:val="32"/>
      <w:lang w:val="en-US"/>
    </w:rPr>
  </w:style>
  <w:style w:type="paragraph" w:styleId="HTMLPreformatted">
    <w:name w:val="HTML Preformatted"/>
    <w:basedOn w:val="Normal"/>
    <w:link w:val="HTMLPreformattedChar"/>
    <w:uiPriority w:val="99"/>
    <w:unhideWhenUsed/>
    <w:rsid w:val="001C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1C3175"/>
    <w:rPr>
      <w:rFonts w:ascii="Courier New" w:eastAsia="Times New Roman" w:hAnsi="Courier New" w:cs="Courier New"/>
      <w:sz w:val="20"/>
      <w:szCs w:val="20"/>
      <w:lang w:val="en-US"/>
    </w:rPr>
  </w:style>
  <w:style w:type="paragraph" w:styleId="Header">
    <w:name w:val="header"/>
    <w:basedOn w:val="Normal"/>
    <w:link w:val="HeaderChar"/>
    <w:uiPriority w:val="99"/>
    <w:unhideWhenUsed/>
    <w:rsid w:val="002056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56E6"/>
  </w:style>
  <w:style w:type="paragraph" w:styleId="Footer">
    <w:name w:val="footer"/>
    <w:basedOn w:val="Normal"/>
    <w:link w:val="FooterChar"/>
    <w:uiPriority w:val="99"/>
    <w:unhideWhenUsed/>
    <w:rsid w:val="002056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56E6"/>
  </w:style>
  <w:style w:type="paragraph" w:customStyle="1" w:styleId="Default">
    <w:name w:val="Default"/>
    <w:rsid w:val="00033F08"/>
    <w:pPr>
      <w:autoSpaceDE w:val="0"/>
      <w:autoSpaceDN w:val="0"/>
      <w:adjustRightInd w:val="0"/>
      <w:spacing w:after="0" w:line="240" w:lineRule="auto"/>
    </w:pPr>
    <w:rPr>
      <w:rFonts w:ascii="Times New Roman" w:hAnsi="Times New Roman" w:cs="Times New Roman"/>
      <w:color w:val="000000"/>
      <w:sz w:val="24"/>
      <w:szCs w:val="24"/>
    </w:rPr>
  </w:style>
  <w:style w:type="paragraph" w:styleId="Caption">
    <w:name w:val="caption"/>
    <w:basedOn w:val="Normal"/>
    <w:next w:val="Normal"/>
    <w:uiPriority w:val="35"/>
    <w:unhideWhenUsed/>
    <w:qFormat/>
    <w:rsid w:val="0046541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7CD7A758-9968-498B-B1DD-3A9FF61B27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6994</TotalTime>
  <Pages>16</Pages>
  <Words>3917</Words>
  <Characters>22332</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Kodjo Barnor</dc:creator>
  <cp:keywords/>
  <dc:description/>
  <cp:lastModifiedBy>Kodjo Barnor</cp:lastModifiedBy>
  <cp:revision>20</cp:revision>
  <dcterms:created xsi:type="dcterms:W3CDTF">2021-08-12T23:13:00Z</dcterms:created>
  <dcterms:modified xsi:type="dcterms:W3CDTF">2021-10-12T04:07:00Z</dcterms:modified>
</cp:coreProperties>
</file>