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ООО «Тайгасвязь» — внутренний документ, копирование запрещено</w:t>
      </w:r>
    </w:p>
    <w:p>
      <w:pPr>
        <w:pStyle w:val="Heading1"/>
      </w:pPr>
      <w:r>
        <w:t xml:space="preserve">Регламент выдачи корпоративных SIM-карт</w:t>
      </w:r>
    </w:p>
    <w:p>
      <w:r>
        <w:t xml:space="preserve">Действует с 2026-01-12. Заменяет памятку от 2024-03-18.</w:t>
      </w:r>
    </w:p>
    <w:p>
      <w:pPr>
        <w:pStyle w:val="Heading1"/>
      </w:pPr>
      <w:r>
        <w:t xml:space="preserve">1. Заявка</w:t>
      </w:r>
    </w:p>
    <w:p>
      <w:r>
        <w:t xml:space="preserve">Заявка на SIM подаётся не позднее чем за 9 рабочих дней до даты выдачи. Заявки, поданные позже, рассматриваются в порядке исключения по служебной записке на имя технического директора.</w:t>
      </w:r>
    </w:p>
    <w:p>
      <w:r>
        <w:t xml:space="preserve">— 2 —</w:t>
      </w:r>
    </w:p>
    <w:p>
      <w:r>
        <w:t xml:space="preserve">ООО «Тайгасвязь» — внутренний документ, копирование запрещено</w:t>
      </w:r>
    </w:p>
    <w:p>
      <w:pPr>
        <w:pStyle w:val="Heading1"/>
      </w:pPr>
      <w:r>
        <w:t xml:space="preserve">2. Лимит и превышение</w:t>
      </w:r>
    </w:p>
    <w:p>
      <w:r>
        <w:t xml:space="preserve">Лимит на корпоративный номер — 1480 ₽ в месяц. Превышение удерживается из подотчёта после согласования с руководителем ЦФО.</w:t>
      </w:r>
    </w:p>
    <w:p>
      <w:r>
        <w:t xml:space="preserve">Номер, не активированный в течение 21 дня после выдачи, отзывается в резерв.</w:t>
      </w:r>
    </w:p>
    <w:p>
      <w:pPr>
        <w:pStyle w:val="Heading1"/>
      </w:pPr>
      <w:r>
        <w:t xml:space="preserve">3. Тарифы</w:t>
      </w:r>
    </w:p>
    <w:p>
      <w:r>
        <w:t xml:space="preserve">Тариф ТСВ-Дельта включает 12 ГБ и безлимит на внутренние номера. Тариф ТСВ-Компакт включает 4 ГБ, внутренние номера тарифицируются как обычные.</w:t>
      </w:r>
    </w:p>
    <w:p>
      <w:r>
        <w:t xml:space="preserve">— 3 —</w:t>
      </w:r>
    </w:p>
    <w:p>
      <w:r>
        <w:t xml:space="preserve">ООО «Тайгасвязь» — внутренний документ, копирование запрещено</w:t>
      </w:r>
    </w:p>
    <w:p>
      <w:pPr>
        <w:pStyle w:val="Heading1"/>
      </w:pPr>
      <w:r>
        <w:t xml:space="preserve">4. Порядок согласования</w:t>
      </w:r>
    </w:p>
    <w:tbl>
      <w:tblPr>
        <w:tblW w:w="9000" w:type="dxa"/>
      </w:tblPr>
      <w:tr>
        <w:tc>
          <w:tcPr>
            <w:tcW w:w="3000" w:type="dxa"/>
          </w:tcPr>
          <w:p>
            <w:r>
              <w:t xml:space="preserve">Категория</w:t>
            </w:r>
          </w:p>
        </w:tc>
        <w:tc>
          <w:tcPr>
            <w:tcW w:w="3000" w:type="dxa"/>
          </w:tcPr>
          <w:p>
            <w:r>
              <w:t xml:space="preserve">Тариф</w:t>
            </w:r>
          </w:p>
        </w:tc>
        <w:tc>
          <w:tcPr>
            <w:tcW w:w="3000" w:type="dxa"/>
          </w:tcPr>
          <w:p>
            <w:r>
              <w:t xml:space="preserve">Кто одобряет</w:t>
            </w:r>
          </w:p>
        </w:tc>
      </w:tr>
      <w:tr>
        <w:tc>
          <w:tcPr>
            <w:tcW w:w="3000" w:type="dxa"/>
          </w:tcPr>
          <w:p>
            <w:r>
              <w:t xml:space="preserve">Полевой инженер</w:t>
            </w:r>
          </w:p>
        </w:tc>
        <w:tc>
          <w:tcPr>
            <w:tcW w:w="3000" w:type="dxa"/>
          </w:tcPr>
          <w:p>
            <w:r>
              <w:t xml:space="preserve">ТСВ-Дельта</w:t>
            </w:r>
          </w:p>
        </w:tc>
        <w:tc>
          <w:tcPr>
            <w:tcW w:w="3000" w:type="dxa"/>
          </w:tcPr>
          <w:p>
            <w:r>
              <w:t xml:space="preserve">Руководитель участка</w:t>
            </w:r>
          </w:p>
        </w:tc>
      </w:tr>
      <w:tr>
        <w:tc>
          <w:tcPr>
            <w:tcW w:w="3000" w:type="dxa"/>
          </w:tcPr>
          <w:p>
            <w:r>
              <w:t xml:space="preserve">Диспетчер</w:t>
            </w:r>
          </w:p>
        </w:tc>
        <w:tc>
          <w:tcPr>
            <w:tcW w:w="3000" w:type="dxa"/>
          </w:tcPr>
          <w:p>
            <w:r>
              <w:t xml:space="preserve">ТСВ-Компакт</w:t>
            </w:r>
          </w:p>
        </w:tc>
        <w:tc>
          <w:tcPr>
            <w:tcW w:w="3000" w:type="dxa"/>
          </w:tcPr>
          <w:p>
            <w:r>
              <w:t xml:space="preserve">Начальник смены</w:t>
            </w:r>
          </w:p>
        </w:tc>
      </w:tr>
    </w:tbl>
    <w:p>
      <w:r>
        <w:t xml:space="preserve">— 4 —</w:t>
      </w:r>
    </w:p>
    <w:p>
      <w:r>
        <w:t xml:space="preserve">ООО «Тайгасвязь» — внутренний документ, копирование запрещено</w:t>
      </w:r>
    </w:p>
    <w:tbl>
      <w:tblPr>
        <w:tblW w:w="9000" w:type="dxa"/>
      </w:tblPr>
      <w:tr>
        <w:tc>
          <w:tcPr>
            <w:tcW w:w="3000" w:type="dxa"/>
          </w:tcPr>
          <w:p>
            <w:r>
              <w:t xml:space="preserve">Категория</w:t>
            </w:r>
          </w:p>
        </w:tc>
        <w:tc>
          <w:tcPr>
            <w:tcW w:w="3000" w:type="dxa"/>
          </w:tcPr>
          <w:p>
            <w:r>
              <w:t xml:space="preserve">Тариф</w:t>
            </w:r>
          </w:p>
        </w:tc>
        <w:tc>
          <w:tcPr>
            <w:tcW w:w="3000" w:type="dxa"/>
          </w:tcPr>
          <w:p>
            <w:r>
              <w:t xml:space="preserve">Кто одобряет</w:t>
            </w:r>
          </w:p>
        </w:tc>
      </w:tr>
      <w:tr>
        <w:tc>
          <w:tcPr>
            <w:tcW w:w="3000" w:type="dxa"/>
          </w:tcPr>
          <w:p>
            <w:r>
              <w:t xml:space="preserve">Подрядчик по договору</w:t>
            </w:r>
          </w:p>
        </w:tc>
        <w:tc>
          <w:tcPr>
            <w:tcW w:w="3000" w:type="dxa"/>
          </w:tcPr>
          <w:p>
            <w:r>
              <w:t xml:space="preserve">ТСВ-Компакт</w:t>
            </w:r>
          </w:p>
        </w:tc>
        <w:tc>
          <w:tcPr>
            <w:tcW w:w="3000" w:type="dxa"/>
          </w:tcPr>
          <w:p>
            <w:r>
              <w:t xml:space="preserve">Директор по безопасности</w:t>
            </w:r>
          </w:p>
        </w:tc>
      </w:tr>
      <w:tr>
        <w:tc>
          <w:tcPr>
            <w:tcW w:w="3000" w:type="dxa"/>
          </w:tcPr>
          <w:p>
            <w:r>
              <w:t xml:space="preserve">Стажёр</w:t>
            </w:r>
          </w:p>
        </w:tc>
        <w:tc>
          <w:tcPr>
            <w:tcW w:w="3000" w:type="dxa"/>
          </w:tcPr>
          <w:p>
            <w:r>
              <w:t xml:space="preserve">ТСВ-Компакт, первые 3 месяца</w:t>
            </w:r>
          </w:p>
        </w:tc>
        <w:tc>
          <w:tcPr>
            <w:tcW w:w="3000" w:type="dxa"/>
          </w:tcPr>
          <w:p>
            <w:r>
              <w:t xml:space="preserve">Кадровая служба</w:t>
            </w:r>
          </w:p>
        </w:tc>
      </w:tr>
    </w:tbl>
    <w:p>
      <w:r>
        <w:t xml:space="preserve">Спорные случаи разбирает комиссия по связи, заседание раз в две недели.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/>
</file>