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Exemple — AI Insurance Data Analyst V2</w:t>
      </w:r>
    </w:p>
    <w:p>
      <w:r>
        <w:t>Portefeuille de démonstration</w:t>
      </w:r>
    </w:p>
    <w:p>
      <w:pPr>
        <w:pStyle w:val="Heading1"/>
      </w:pPr>
      <w:r>
        <w:t>Synthèse exécutive</w:t>
      </w:r>
    </w:p>
    <w:p>
      <w:r>
        <w:t>Exemple de rapport généré automatiquement à partir du jeu de données fourni.</w:t>
      </w:r>
    </w:p>
    <w:p>
      <w:pPr>
        <w:pStyle w:val="Heading1"/>
      </w:pPr>
      <w:r>
        <w:t>Indicateurs clés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Indicateur</w:t>
            </w:r>
          </w:p>
        </w:tc>
        <w:tc>
          <w:tcPr>
            <w:tcW w:type="dxa" w:w="2880"/>
          </w:tcPr>
          <w:p>
            <w:r>
              <w:t>Valeur</w:t>
            </w:r>
          </w:p>
        </w:tc>
        <w:tc>
          <w:tcPr>
            <w:tcW w:type="dxa" w:w="2880"/>
          </w:tcPr>
          <w:p>
            <w:r>
              <w:t>Formule</w:t>
            </w:r>
          </w:p>
        </w:tc>
      </w:tr>
      <w:tr>
        <w:tc>
          <w:tcPr>
            <w:tcW w:type="dxa" w:w="2880"/>
          </w:tcPr>
          <w:p>
            <w:r>
              <w:t>Ratio de sinistralité</w:t>
            </w:r>
          </w:p>
        </w:tc>
        <w:tc>
          <w:tcPr>
            <w:tcW w:type="dxa" w:w="2880"/>
          </w:tcPr>
          <w:p>
            <w:r>
              <w:t>176.88%</w:t>
            </w:r>
          </w:p>
        </w:tc>
        <w:tc>
          <w:tcPr>
            <w:tcW w:type="dxa" w:w="2880"/>
          </w:tcPr>
          <w:p>
            <w:r>
              <w:t>Sinistres / Primes</w:t>
            </w:r>
          </w:p>
        </w:tc>
      </w:tr>
    </w:tbl>
    <w:p>
      <w:pPr>
        <w:pStyle w:val="Heading1"/>
      </w:pPr>
      <w:r>
        <w:t>Primes et sinistres par branche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branch</w:t>
            </w:r>
          </w:p>
        </w:tc>
        <w:tc>
          <w:tcPr>
            <w:tcW w:type="dxa" w:w="2160"/>
          </w:tcPr>
          <w:p>
            <w:r>
              <w:t>premium</w:t>
            </w:r>
          </w:p>
        </w:tc>
        <w:tc>
          <w:tcPr>
            <w:tcW w:type="dxa" w:w="2160"/>
          </w:tcPr>
          <w:p>
            <w:r>
              <w:t>claims</w:t>
            </w:r>
          </w:p>
        </w:tc>
        <w:tc>
          <w:tcPr>
            <w:tcW w:type="dxa" w:w="2160"/>
          </w:tcPr>
          <w:p>
            <w:r>
              <w:t>loss_ratio</w:t>
            </w:r>
          </w:p>
        </w:tc>
      </w:tr>
      <w:tr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660000</w:t>
            </w:r>
          </w:p>
        </w:tc>
        <w:tc>
          <w:tcPr>
            <w:tcW w:type="dxa" w:w="2160"/>
          </w:tcPr>
          <w:p>
            <w:r>
              <w:t>1600000.0</w:t>
            </w:r>
          </w:p>
        </w:tc>
        <w:tc>
          <w:tcPr>
            <w:tcW w:type="dxa" w:w="2160"/>
          </w:tcPr>
          <w:p>
            <w:r>
              <w:t>2.4242424242424243</w:t>
            </w:r>
          </w:p>
        </w:tc>
      </w:tr>
      <w:tr>
        <w:tc>
          <w:tcPr>
            <w:tcW w:type="dxa" w:w="2160"/>
          </w:tcPr>
          <w:p>
            <w:r>
              <w:t>MRH</w:t>
            </w:r>
          </w:p>
        </w:tc>
        <w:tc>
          <w:tcPr>
            <w:tcW w:type="dxa" w:w="2160"/>
          </w:tcPr>
          <w:p>
            <w:r>
              <w:t>90000</w:t>
            </w:r>
          </w:p>
        </w:tc>
        <w:tc>
          <w:tcPr>
            <w:tcW w:type="dxa" w:w="2160"/>
          </w:tcPr>
          <w:p>
            <w:r>
              <w:t>45000.0</w:t>
            </w:r>
          </w:p>
        </w:tc>
        <w:tc>
          <w:tcPr>
            <w:tcW w:type="dxa" w:w="2160"/>
          </w:tcPr>
          <w:p>
            <w:r>
              <w:t>0.5</w:t>
            </w:r>
          </w:p>
        </w:tc>
      </w:tr>
      <w:tr>
        <w:tc>
          <w:tcPr>
            <w:tcW w:type="dxa" w:w="2160"/>
          </w:tcPr>
          <w:p>
            <w:r>
              <w:t>Santé</w:t>
            </w:r>
          </w:p>
        </w:tc>
        <w:tc>
          <w:tcPr>
            <w:tcW w:type="dxa" w:w="2160"/>
          </w:tcPr>
          <w:p>
            <w:r>
              <w:t>180000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</w:tbl>
    <w:p>
      <w:pPr>
        <w:pStyle w:val="Heading1"/>
      </w:pPr>
      <w:r>
        <w:t>Constats</w:t>
      </w:r>
    </w:p>
    <w:p>
      <w:pPr>
        <w:pStyle w:val="ListBullet"/>
      </w:pPr>
      <w:r>
        <w:t>Jeu de données de démonstration uniquement.</w:t>
      </w:r>
    </w:p>
    <w:p>
      <w:pPr>
        <w:pStyle w:val="Heading1"/>
      </w:pPr>
      <w:r>
        <w:t>Recommandations</w:t>
      </w:r>
    </w:p>
    <w:p>
      <w:pPr>
        <w:pStyle w:val="ListBullet"/>
      </w:pPr>
      <w:r>
        <w:t>Valider les définitions métier avant usage réel.</w:t>
      </w:r>
    </w:p>
    <w:p>
      <w:pPr>
        <w:pStyle w:val="Heading1"/>
      </w:pPr>
      <w:r>
        <w:t>Primes par branche</w:t>
      </w:r>
    </w:p>
    <w:p>
      <w:r>
        <w:drawing>
          <wp:inline xmlns:a="http://schemas.openxmlformats.org/drawingml/2006/main" xmlns:pic="http://schemas.openxmlformats.org/drawingml/2006/picture">
            <wp:extent cx="5852160" cy="30729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7293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