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 w:val="1"/>
        <w:spacing w:line="440" w:lineRule="auto" w:before="0" w:after="180"/>
        <w:ind w:firstLineChars="0" w:firstLine="0"/>
        <w:keepNext w:val="1"/>
        <w:suppressAutoHyphens w:val="1"/>
        <w:jc w:val="center"/>
        <w:pStyle w:val="af5"/>
        <w:outlineLvl w:val="9"/>
      </w:pPr>
      <w:r>
        <w:rPr>
          <w:color w:val="000000"/>
          <w:sz w:val="32"/>
          <w:szCs w:val="32"/>
        </w:rPr>
        <w:t xml:space="preserve">基于女娲平台的三角洲行动配装智能体搭建报告</w:t>
      </w:r>
    </w:p>
    <w:p>
      <w:pPr>
        <w:spacing w:line="360" w:lineRule="auto" w:before="160" w:after="160"/>
        <w:ind w:firstLineChars="0" w:firstLine="0"/>
        <w:jc w:val="center"/>
        <w:keepNext w:val="1"/>
        <w:widowControl w:val="1"/>
        <w:suppressAutoHyphens w:val="1"/>
        <w:numPr>
          <w:numId w:val="0"/>
        </w:numPr>
        <w:outlineLvl w:val="9"/>
      </w:pPr>
      <w:r>
        <w:rPr>
          <w:color w:val="000000"/>
          <w:sz w:val="28"/>
          <w:szCs w:val="28"/>
          <w:b/>
        </w:rPr>
        <w:t xml:space="preserve">摘要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本项目以大模型应用课程实践为背景，针对三角洲行动烽火地带配装中预算计算繁琐、枪弹匹配容易出错和不同打法规则混用等问题，基于女娲智能体平台搭建三角洲配装助手。用户在页面选择地图和难度、输入整套预算，即可生成猛攻、鼠鼠、花来、以小博大和航天堵桥五类方案；特殊物品授权与破损防具偏好通过更多选项设置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系统将交互页面、任务工作流与图文报告连接起来。表单直接调用已绑定的工作流，数据表提供物品和改装资料，大模型负责候选选择，代码核验预算、入场价值、口径、防护和补给。现有工作流共29个节点，包含1个HTTP报价节点和2个大模型节点。V20新增页面入口，沿用V19配装规则，在页面内展示完整报告，并保留自然语言对话入口与当前浏览器最近五份战报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课程实践完成了数据准备、节点配置、页面设计、数据资源绑定、智能体发布与试运行。既有V19回归和报告规则测试之外，V20完成常规50万、绝密100万与120万三组表单调用验证；正式页面的120万样例生成五套预算内方案，猛攻为五级弹、鼠鼠为四级弹，复制和刷新恢复后的报告链接均保持一致。本文参照课程手册的案例结构，说明系统搭建方法、用户操作流程及实际运行效果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关键词  女娲平台  配装智能体  工作流编排  交互式页面  预算约束</w:t>
      </w:r>
    </w:p>
    <w:p>
      <w:pPr>
        <w:spacing w:before="0" w:after="0" w:line="20" w:lineRule="exact"/>
        <w:ind w:firstLine="480"/>
        <w:widowControl w:val="1"/>
        <w:suppressAutoHyphens w:val="1"/>
        <w:pStyle w:val="a4"/>
        <w:sectPr>
          <w:headerReference w:type="default" r:id="rId24"/>
          <w:footerReference w:type="default" r:id="rId19"/>
          <w:pgSz w:w="11906" w:h="16838"/>
          <w:pgMar w:top="1418" w:right="1418" w:bottom="1418" w:left="1418" w:header="851" w:footer="992" w:gutter="0"/>
          <w:cols w:space="425"/>
          <w:docGrid w:linePitch="326"/>
          <w:type w:val="nextPage"/>
          <w:pgNumType w:start="1"/>
        </w:sectPr>
      </w:pPr>
      <w:r>
        <w:rPr>
          <w:color w:val="000000"/>
        </w:rPr>
        <w:t xml:space="preserve"/>
      </w:r>
      <w:r>
        <w:rPr>
          <w:color w:val="000000"/>
          <w:sz w:val="2"/>
          <w:szCs w:val="2"/>
        </w:rPr>
        <w:t xml:space="preserve"/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4"/>
          <w:lang w:val="zh-CN"/>
        </w:rPr>
        <w:id w:val="3681171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>
          <w:pPr>
            <w:pStyle w:val="TOC"/>
            <w:ind w:firstLine="480"/>
            <w:jc w:val="center"/>
            <w:rPr>
              <w:rFonts w:ascii="宋体" w:eastAsia="宋体" w:hAnsi="宋体" w:hint="eastAsia"/>
              <w:b/>
              <w:bCs/>
              <w:color w:val="auto"/>
            </w:rPr>
          </w:pPr>
          <w:r>
            <w:rPr>
              <w:rFonts w:ascii="宋体" w:eastAsia="宋体" w:hAnsi="宋体"/>
              <w:b/>
              <w:bCs/>
              <w:color w:val="auto"/>
              <w:lang w:val="zh-CN"/>
            </w:rPr>
            <w:t>目录</w:t>
          </w:r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r>
            <w:fldChar w:fldCharType="begin"/>
          </w:r>
          <w:r>
            <w:instrText> TOC \t "标题 1,1,标题 2,2" \h \z </w:instrText>
          </w:r>
          <w:r>
            <w:fldChar w:fldCharType="separate"/>
          </w:r>
          <w:hyperlink w:anchor="ReportHeading501" w:history="1">
            <w:r>
              <w:rPr>
                <w:color w:val="000000"/>
                <w:sz w:val="22"/>
                <w:szCs w:val="22"/>
              </w:rPr>
              <w:t xml:space="preserve">一、 案例概述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3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2" w:history="1">
            <w:r>
              <w:rPr>
                <w:color w:val="000000"/>
                <w:sz w:val="22"/>
                <w:szCs w:val="22"/>
              </w:rPr>
              <w:t xml:space="preserve">1.1 应用场景与任务目标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3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3" w:history="1">
            <w:r>
              <w:rPr>
                <w:color w:val="000000"/>
                <w:sz w:val="22"/>
                <w:szCs w:val="22"/>
              </w:rPr>
              <w:t xml:space="preserve">1.2 智能体定位与功能范围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3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4" w:history="1">
            <w:r>
              <w:rPr>
                <w:color w:val="000000"/>
                <w:sz w:val="22"/>
                <w:szCs w:val="22"/>
              </w:rPr>
              <w:t xml:space="preserve">二、 前置准备与数据源配置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3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5" w:history="1">
            <w:r>
              <w:rPr>
                <w:color w:val="000000"/>
                <w:sz w:val="22"/>
                <w:szCs w:val="22"/>
              </w:rPr>
              <w:t xml:space="preserve">2.1 平台环境与组件准备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3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6" w:history="1">
            <w:r>
              <w:rPr>
                <w:color w:val="000000"/>
                <w:sz w:val="22"/>
                <w:szCs w:val="22"/>
              </w:rPr>
              <w:t xml:space="preserve">2.2 创建数据表与导入数据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4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7" w:history="1">
            <w:r>
              <w:rPr>
                <w:color w:val="000000"/>
                <w:sz w:val="22"/>
                <w:szCs w:val="22"/>
              </w:rPr>
              <w:t xml:space="preserve">2.3 数据清洗与候选检查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4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8" w:history="1">
            <w:r>
              <w:rPr>
                <w:color w:val="000000"/>
                <w:sz w:val="22"/>
                <w:szCs w:val="22"/>
              </w:rPr>
              <w:t xml:space="preserve">三、 工作流整体架构与执行逻辑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4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09" w:history="1">
            <w:r>
              <w:rPr>
                <w:color w:val="000000"/>
                <w:sz w:val="22"/>
                <w:szCs w:val="22"/>
              </w:rPr>
              <w:t xml:space="preserve">3.1 整体执行路径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4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0" w:history="1">
            <w:r>
              <w:rPr>
                <w:color w:val="000000"/>
                <w:sz w:val="22"/>
                <w:szCs w:val="22"/>
              </w:rPr>
              <w:t xml:space="preserve">3.2 模型与规则程序的职责分工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5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1" w:history="1">
            <w:r>
              <w:rPr>
                <w:color w:val="000000"/>
                <w:sz w:val="22"/>
                <w:szCs w:val="22"/>
              </w:rPr>
              <w:t xml:space="preserve">四、 关键节点配置与实现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5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2" w:history="1">
            <w:r>
              <w:rPr>
                <w:color w:val="000000"/>
                <w:sz w:val="22"/>
                <w:szCs w:val="22"/>
              </w:rPr>
              <w:t xml:space="preserve">4.1 开始节点与输入预处理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5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3" w:history="1">
            <w:r>
              <w:rPr>
                <w:color w:val="000000"/>
                <w:sz w:val="22"/>
                <w:szCs w:val="22"/>
              </w:rPr>
              <w:t xml:space="preserve">4.2 数据查询与HTTP报价节点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6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4" w:history="1">
            <w:r>
              <w:rPr>
                <w:color w:val="000000"/>
                <w:sz w:val="22"/>
                <w:szCs w:val="22"/>
              </w:rPr>
              <w:t xml:space="preserve">4.3 五种风格的候选筛选与预算约束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7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5" w:history="1">
            <w:r>
              <w:rPr>
                <w:color w:val="000000"/>
                <w:sz w:val="22"/>
                <w:szCs w:val="22"/>
              </w:rPr>
              <w:t xml:space="preserve">4.4 补给选择与预算不足处理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8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6" w:history="1">
            <w:r>
              <w:rPr>
                <w:color w:val="000000"/>
                <w:sz w:val="22"/>
                <w:szCs w:val="22"/>
              </w:rPr>
              <w:t xml:space="preserve">4.5 大模型选装与独立复验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8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7" w:history="1">
            <w:r>
              <w:rPr>
                <w:color w:val="000000"/>
                <w:sz w:val="22"/>
                <w:szCs w:val="22"/>
              </w:rPr>
              <w:t xml:space="preserve">4.6 报告生成与结束节点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8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8" w:history="1">
            <w:r>
              <w:rPr>
                <w:color w:val="000000"/>
                <w:sz w:val="22"/>
                <w:szCs w:val="22"/>
              </w:rPr>
              <w:t xml:space="preserve">五、 交互式页面设计与操作流程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9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19" w:history="1">
            <w:r>
              <w:rPr>
                <w:color w:val="000000"/>
                <w:sz w:val="22"/>
                <w:szCs w:val="22"/>
              </w:rPr>
              <w:t xml:space="preserve">5.1 页面结构与交互设计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9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0" w:history="1">
            <w:r>
              <w:rPr>
                <w:color w:val="000000"/>
                <w:sz w:val="22"/>
                <w:szCs w:val="22"/>
              </w:rPr>
              <w:t xml:space="preserve">5.2 数据资源绑定与结果展示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10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1" w:history="1">
            <w:r>
              <w:rPr>
                <w:color w:val="000000"/>
                <w:sz w:val="22"/>
                <w:szCs w:val="22"/>
              </w:rPr>
              <w:t xml:space="preserve">5.3 用户操作流程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11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2" w:history="1">
            <w:r>
              <w:rPr>
                <w:color w:val="000000"/>
                <w:sz w:val="22"/>
                <w:szCs w:val="22"/>
              </w:rPr>
              <w:t xml:space="preserve">六、 智能体配置与发布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12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3" w:history="1">
            <w:r>
              <w:rPr>
                <w:color w:val="000000"/>
                <w:sz w:val="22"/>
                <w:szCs w:val="22"/>
              </w:rPr>
              <w:t xml:space="preserve">6.1 系统提示词配置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12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4" w:history="1">
            <w:r>
              <w:rPr>
                <w:color w:val="000000"/>
                <w:sz w:val="22"/>
                <w:szCs w:val="22"/>
              </w:rPr>
              <w:t xml:space="preserve">6.2 工作流绑定与异步设置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12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5" w:history="1">
            <w:r>
              <w:rPr>
                <w:color w:val="000000"/>
                <w:sz w:val="22"/>
                <w:szCs w:val="22"/>
              </w:rPr>
              <w:t xml:space="preserve">6.3 页面组件绑定与默认展开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12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6" w:history="1">
            <w:r>
              <w:rPr>
                <w:color w:val="000000"/>
                <w:sz w:val="22"/>
                <w:szCs w:val="22"/>
              </w:rPr>
              <w:t xml:space="preserve">6.4 试运行与发布检查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12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7" w:history="1">
            <w:r>
              <w:rPr>
                <w:color w:val="000000"/>
                <w:sz w:val="22"/>
                <w:szCs w:val="22"/>
              </w:rPr>
              <w:t xml:space="preserve">七、 试运行与效果验证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13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8" w:history="1">
            <w:r>
              <w:rPr>
                <w:color w:val="000000"/>
                <w:sz w:val="22"/>
                <w:szCs w:val="22"/>
              </w:rPr>
              <w:t xml:space="preserve">7.1 测试设计与检查方法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13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29" w:history="1">
            <w:r>
              <w:rPr>
                <w:color w:val="000000"/>
                <w:sz w:val="22"/>
                <w:szCs w:val="22"/>
              </w:rPr>
              <w:t xml:space="preserve">7.2 代表性场景与运行结果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13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0" w:history="1">
            <w:r>
              <w:rPr>
                <w:color w:val="000000"/>
                <w:sz w:val="22"/>
                <w:szCs w:val="22"/>
              </w:rPr>
              <w:t xml:space="preserve">7.3 交互式页面实测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14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1" w:history="1">
            <w:r>
              <w:rPr>
                <w:color w:val="000000"/>
                <w:sz w:val="22"/>
                <w:szCs w:val="22"/>
              </w:rPr>
              <w:t xml:space="preserve">7.4 典型问题与优化处理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14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2" w:history="1">
            <w:r>
              <w:rPr>
                <w:color w:val="000000"/>
                <w:sz w:val="22"/>
                <w:szCs w:val="22"/>
              </w:rPr>
              <w:t xml:space="preserve">7.5 测试范围与后续改进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15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3" w:history="1">
            <w:r>
              <w:rPr>
                <w:color w:val="000000"/>
                <w:sz w:val="22"/>
                <w:szCs w:val="22"/>
              </w:rPr>
              <w:t xml:space="preserve">八、 成果发布与课程实践总结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15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4" w:history="1">
            <w:r>
              <w:rPr>
                <w:color w:val="000000"/>
                <w:sz w:val="22"/>
                <w:szCs w:val="22"/>
              </w:rPr>
              <w:t xml:space="preserve">8.1 女娲版与独立技能版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15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5" w:history="1">
            <w:r>
              <w:rPr>
                <w:color w:val="000000"/>
                <w:sz w:val="22"/>
                <w:szCs w:val="22"/>
              </w:rPr>
              <w:t xml:space="preserve">8.2 版本维护与复现方法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15</w:t>
            </w:r>
          </w:hyperlink>
        </w:p>
        <w:p>
          <w:pPr>
            <w:pStyle w:val="TOC2"/>
            <w:spacing w:before="60" w:after="60"/>
            <w:ind w:left="24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6" w:history="1">
            <w:r>
              <w:rPr>
                <w:color w:val="000000"/>
                <w:sz w:val="22"/>
                <w:szCs w:val="22"/>
              </w:rPr>
              <w:t xml:space="preserve">8.3 课程实践体会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15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7" w:history="1">
            <w:r>
              <w:rPr>
                <w:color w:val="000000"/>
                <w:sz w:val="22"/>
                <w:szCs w:val="22"/>
              </w:rPr>
              <w:t xml:space="preserve">参考文献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16</w:t>
            </w:r>
          </w:hyperlink>
        </w:p>
        <w:p>
          <w:pPr>
            <w:pStyle w:val="TOC1"/>
            <w:spacing w:before="60" w:after="60"/>
            <w:rPr>
              <w:rFonts w:asciiTheme="minorHAnsi" w:eastAsiaTheme="minorEastAsia" w:hAnsiTheme="minorHAnsi" w:hint="eastAsia"/>
              <w:noProof/>
              <w:sz w:val="21"/>
              <w:szCs w:val="22"/>
            </w:rPr>
            <w:keepNext w:val="0"/>
          </w:pPr>
          <w:hyperlink w:anchor="ReportHeading538" w:history="1">
            <w:r>
              <w:rPr>
                <w:color w:val="000000"/>
                <w:sz w:val="22"/>
                <w:szCs w:val="22"/>
              </w:rPr>
              <w:t xml:space="preserve">附录</w:t>
            </w:r>
            <w:r>
              <w:tab/>
            </w:r>
            <w:r>
              <w:rPr>
                <w:color w:val="000000"/>
                <w:sz w:val="22"/>
                <w:szCs w:val="22"/>
              </w:rPr>
              <w:t xml:space="preserve">17</w:t>
            </w:r>
          </w:hyperlink>
          <w:r>
            <w:fldChar w:fldCharType="end"/>
          </w:r>
        </w:p>
      </w:sdtContent>
    </w:sdt>
    <w:p>
      <w:pPr>
        <w:spacing w:before="0" w:after="0" w:line="20" w:lineRule="exact"/>
        <w:ind w:firstLine="480"/>
        <w:widowControl w:val="1"/>
        <w:suppressAutoHyphens w:val="1"/>
        <w:pStyle w:val="a4"/>
        <w:sectPr>
          <w:headerReference w:type="default" r:id="rId24"/>
          <w:footerReference w:type="default" r:id="rId19"/>
          <w:pgSz w:w="11906" w:h="16838"/>
          <w:pgMar w:top="1418" w:right="1418" w:bottom="1418" w:left="1418" w:header="851" w:footer="992" w:gutter="0"/>
          <w:cols w:space="425"/>
          <w:docGrid w:linePitch="326"/>
          <w:type w:val="nextPage"/>
        </w:sectPr>
      </w:pPr>
      <w:r>
        <w:rPr>
          <w:color w:val="000000"/>
        </w:rPr>
        <w:t xml:space="preserve"/>
      </w:r>
      <w:r>
        <w:rPr>
          <w:color w:val="000000"/>
          <w:sz w:val="2"/>
          <w:szCs w:val="2"/>
        </w:rPr>
        <w:t xml:space="preserve"/>
      </w:r>
    </w:p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01" w:name="ReportHeading501"/>
      <w:r>
        <w:rPr>
          <w:color w:val="000000"/>
        </w:rPr>
        <w:t xml:space="preserve">案例概述</w:t>
      </w:r>
      <w:bookmarkEnd w:id="501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02" w:name="ReportHeading502"/>
      <w:r>
        <w:rPr>
          <w:color w:val="000000"/>
        </w:rPr>
        <w:t xml:space="preserve">应用场景与任务目标</w:t>
      </w:r>
      <w:bookmarkEnd w:id="502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本案例是大模型应用课程中的智能体搭建实践，选取三角洲行动烽火地带的出发前配装作为应用场景。玩家通常用“大坝机密50万”“航天绝密120万”等简短语句提出需求，但一套可执行的方案还需要考虑枪械改装、弹药口径、防具成色、入场门槛及医疗补给。仅列出装备名称，难以判断整套购入是否超支，也不便于解释不同打法的取舍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项目的目标是将这一决策过程转化为可重复执行的工作流：先收集并校验需求，再查询真实数据、筛选候选，由模型提出搭配，最后核算并输出完整报告。系统提供出发前的装备参考，不涉及游戏内自动操作。课程实操手册中的案例组织方式，为本项目的前置准备、节点配置、工作流绑定和试运行提供了结构参考。[9]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03" w:name="ReportHeading503"/>
      <w:r>
        <w:rPr>
          <w:color w:val="000000"/>
        </w:rPr>
        <w:t xml:space="preserve">智能体定位与功能范围</w:t>
      </w:r>
      <w:bookmarkEnd w:id="503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三角洲配装助手采用交互式页面与自然语言对话两种入口。V20将地图、难度和预算组织成表单，用户点击按钮后直接调用工作流，完整报告在同一页面展示；主智能体继续处理用户通过聊天提出的补充需求。两种入口共用已有配装规则，价格、数量和可行性由工作流核算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一次请求返回五个配装板块，每个板块独立使用同一预算上限，五套方案的金额不相加。堵桥仅适用于航天基地，其他地图标记不适用。预算不足时给出当前候选最低完整支出、费用构成和建议预算。当前女娲版为V20交互入口与V19规则工作流的组合；GitHub独立技能版保留可复现的核心引擎，新页面由女娲平台管理。[1][11]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表1 系统输入与输出要求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1633"/>
        <w:gridCol w:w="3084"/>
        <w:gridCol w:w="4354"/>
      </w:tblGrid>
      <w:tr>
        <w:trPr>
          <w:cantSplit/>
          <w:tblHeader/>
        </w:trPr>
        <w:tc>
          <w:tcPr>
            <w:tcW w:w="1633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项目</w:t>
            </w:r>
          </w:p>
        </w:tc>
        <w:tc>
          <w:tcPr>
            <w:tcW w:w="3084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输入或输出</w:t>
            </w:r>
          </w:p>
        </w:tc>
        <w:tc>
          <w:tcPr>
            <w:tcW w:w="4354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验收要求</w:t>
            </w:r>
          </w:p>
        </w:tc>
      </w:tr>
      <w:tr>
        <w:trPr>
          <w:cantSplit/>
        </w:trPr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场景参数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地图、难度、整套预算</w:t>
            </w:r>
          </w:p>
        </w:tc>
        <w:tc>
          <w:tcPr>
            <w:tcW w:w="435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表单校验字段与单位；聊天入口缺项才追问</w:t>
            </w:r>
          </w:p>
        </w:tc>
      </w:tr>
      <w:tr>
        <w:trPr>
          <w:cantSplit/>
        </w:trPr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授权参数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特殊物品与破损防具偏好</w:t>
            </w:r>
          </w:p>
        </w:tc>
        <w:tc>
          <w:tcPr>
            <w:tcW w:w="435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区分默认规则和用户明确例外</w:t>
            </w:r>
          </w:p>
        </w:tc>
      </w:tr>
      <w:tr>
        <w:trPr>
          <w:cantSplit/>
        </w:trPr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配装结果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枪械、配件、头甲、携行、弹药、补给</w:t>
            </w:r>
          </w:p>
        </w:tc>
        <w:tc>
          <w:tcPr>
            <w:tcW w:w="435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逐项可追溯，完整支出不超预算</w:t>
            </w:r>
          </w:p>
        </w:tc>
      </w:tr>
      <w:tr>
        <w:trPr>
          <w:cantSplit/>
        </w:trPr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报告保存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页面报告、本机战报与完整链接</w:t>
            </w:r>
          </w:p>
        </w:tc>
        <w:tc>
          <w:tcPr>
            <w:tcW w:w="435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刷新后链接完整，历史价格不漂移</w:t>
            </w:r>
          </w:p>
        </w:tc>
      </w:tr>
      <w:tr>
        <w:trPr>
          <w:cantSplit/>
        </w:trPr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异常处理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缺参、缺价、违规提案、接口失败</w:t>
            </w:r>
          </w:p>
        </w:tc>
        <w:tc>
          <w:tcPr>
            <w:tcW w:w="435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给出明确状态，不伪造成功结果</w:t>
            </w:r>
          </w:p>
        </w:tc>
      </w:tr>
    </w:tbl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04" w:name="ReportHeading504"/>
      <w:r>
        <w:rPr>
          <w:color w:val="000000"/>
        </w:rPr>
        <w:t xml:space="preserve">前置准备与数据源配置</w:t>
      </w:r>
      <w:bookmarkEnd w:id="504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05" w:name="ReportHeading505"/>
      <w:r>
        <w:rPr>
          <w:color w:val="000000"/>
        </w:rPr>
        <w:t xml:space="preserve">平台环境与组件准备</w:t>
      </w:r>
      <w:bookmarkEnd w:id="505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本项目通过女娲在线平台开展搭建。准备阶段先建立数据表与配装工作流，再创建交互页面和主智能体。主要配置对象包括系统提示词、数据表、代码节点、大模型节点、条件分支节点、HTTP请求节点及页面组件。页面负责收集参数和展示结果，工作流负责计算，主智能体提供可选的聊天入口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数据表承载可精确查询的物品、价格和改装关系，提示词表达角色与交互要求，代码保存可重复校验的规则。本案例通过结构化查询获取准确记录，适合物品ID、价格、数量等需要逐项核算的任务。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06" w:name="ReportHeading506"/>
      <w:r>
        <w:rPr>
          <w:color w:val="000000"/>
        </w:rPr>
        <w:t xml:space="preserve">创建数据表与导入数据</w:t>
      </w:r>
      <w:bookmarkEnd w:id="506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按照实操手册的数据表操作路径，可从“工作空间—组件库—组件—数据表”创建对应组件，填写名称与说明后导入整理好的表格。表格第一行为字段名，不使用合并单元格。导入后重点核对字段类型、主键和记录数，再将数据表关联到工作流中的SQL查询节点。[9]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项目将可计算事实组织为结构化数据表，物品与改枪资料来自MOLIGOD交易和军械资料页面，保留2026年10月13日快照用于回退。物品以item_id识别，原始素材编号与成色变体分开保存；图片通过素材编号关联HTTPS原图链接。地图门槛采用项目中提供的S6参考规则，并在报告中标明其验证范围。[2]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表2 核心数据表与快照规模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2812"/>
        <w:gridCol w:w="1179"/>
        <w:gridCol w:w="5079"/>
      </w:tblGrid>
      <w:tr>
        <w:trPr>
          <w:cantSplit/>
          <w:tblHeader/>
        </w:trPr>
        <w:tc>
          <w:tcPr>
            <w:tcW w:w="2812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数据表</w:t>
            </w:r>
          </w:p>
        </w:tc>
        <w:tc>
          <w:tcPr>
            <w:tcW w:w="1179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记录数</w:t>
            </w:r>
          </w:p>
        </w:tc>
        <w:tc>
          <w:tcPr>
            <w:tcW w:w="5079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主要字段与用途</w:t>
            </w:r>
          </w:p>
        </w:tc>
      </w:tr>
      <w:tr>
        <w:trPr>
          <w:cantSplit/>
        </w:trPr>
        <w:tc>
          <w:tcPr>
            <w:tcW w:w="281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df_items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1,040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物品ID、分类、等级、单价、成色与来源时间</w:t>
            </w:r>
          </w:p>
        </w:tc>
      </w:tr>
      <w:tr>
        <w:trPr>
          <w:cantSplit/>
        </w:trPr>
        <w:tc>
          <w:tcPr>
            <w:tcW w:w="281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df_gun_builds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326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改装ID、武器ID、改枪码、总价、缺价计数</w:t>
            </w:r>
          </w:p>
        </w:tc>
      </w:tr>
      <w:tr>
        <w:trPr>
          <w:cantSplit/>
        </w:trPr>
        <w:tc>
          <w:tcPr>
            <w:tcW w:w="281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df_gun_parts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4,391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改装ID、配件ID、槽位、数量与单价</w:t>
            </w:r>
          </w:p>
        </w:tc>
      </w:tr>
      <w:tr>
        <w:trPr>
          <w:cantSplit/>
        </w:trPr>
        <w:tc>
          <w:tcPr>
            <w:tcW w:w="281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df_map_rules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地图、难度、最低入场价值与规则版本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物品ID与成色变体应作为文本保留，避免编号被数值格式改写；价格与数量使用数值字段，授权状态使用布尔值。物品表与配件表通过物品ID关联，改装表与配件表通过改装ID关联。查询节点绑定到实际导入的数据表后，还需核对表字段与代码引用是否一致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上述记录数是项目快照规模，不等同于游戏全部物品数量。静态目录用于确定物品身份、枪弹口径、装备类别和改装组成；动态接口只更新报价，不自动增补新枪械、新配件或新赛季地图规则。将目录更新与价格刷新分开，有助于避免把报价变化误当成物品属性变化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07" w:name="ReportHeading507"/>
      <w:r>
        <w:rPr>
          <w:color w:val="000000"/>
        </w:rPr>
        <w:t xml:space="preserve">数据清洗与候选检查</w:t>
      </w:r>
      <w:bookmarkEnd w:id="507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进入候选池前，先过滤缺价项、无效数量及组成不完整的改枪方案。枪械总价必须与枪体及全部配件之和一致，不能只计算枪体价格，也不能在完整改枪总价之外再次累加配件。具有破损等成色后缀的ID按独立报价处理，不用全新品价格替代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数据清洗完成后，先用少量样例检查关联关系：选取一套改枪方案，核对枪体和配件是否齐全、费用之和是否等于完整改装价格，再检查一个地图难度组合能否查到入场门槛。名称和参考说明作为数据处理，不作为新的执行指令。只有相关且有效的候选进入模型上下文，减少无关信息占用。</w:t>
      </w:r>
    </w:p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08" w:name="ReportHeading508"/>
      <w:r>
        <w:rPr>
          <w:color w:val="000000"/>
        </w:rPr>
        <w:t xml:space="preserve">工作流整体架构与执行逻辑</w:t>
      </w:r>
      <w:bookmarkEnd w:id="508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09" w:name="ReportHeading509"/>
      <w:r>
        <w:rPr>
          <w:color w:val="000000"/>
        </w:rPr>
        <w:t xml:space="preserve">整体执行路径</w:t>
      </w:r>
      <w:bookmarkEnd w:id="509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在女娲工作流编辑器中，各节点通过连线传递变量并控制执行顺序。当前工作流共有29个节点，其中包含1个HTTP请求节点、2个大模型节点，以及数据查询、代码、条件分支和文本处理等节点。按处理职责可以概括为下列路径；实际画布中的异常分支会提前进入反馈与结束节点。[3][7]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开始接收需求 → 参数处理与条件判断 → 地图规则查询</w:t>
        <w:br/>
        <w:t xml:space="preserve">→ 获取并校验报价 → 重算改枪价格与筛选候选</w:t>
        <w:br/>
        <w:t xml:space="preserve">→ 五风格规则备选 → 大模型选装与独立复验</w:t>
        <w:br/>
        <w:t xml:space="preserve">→ 配件对账与结果合并 → 图文报告生成 → 结束返回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表3 工作流各阶段的输入输出职责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1451"/>
        <w:gridCol w:w="3447"/>
        <w:gridCol w:w="4172"/>
      </w:tblGrid>
      <w:tr>
        <w:trPr>
          <w:cantSplit/>
          <w:tblHeader/>
        </w:trPr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阶段</w:t>
            </w:r>
          </w:p>
        </w:tc>
        <w:tc>
          <w:tcPr>
            <w:tcW w:w="3447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代表节点</w:t>
            </w:r>
          </w:p>
        </w:tc>
        <w:tc>
          <w:tcPr>
            <w:tcW w:w="4172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输出与作用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需求校验</w:t>
            </w:r>
          </w:p>
        </w:tc>
        <w:tc>
          <w:tcPr>
            <w:tcW w:w="344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参数归一化、缺参分支、地图查询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形成有效预算与地图规则；异常提前反馈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统一定价</w:t>
            </w:r>
          </w:p>
        </w:tc>
        <w:tc>
          <w:tcPr>
            <w:tcW w:w="344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HTTP报价、价格校验、组成查询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确定本轮价格模式，重算完整改枪价格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候选准备</w:t>
            </w:r>
          </w:p>
        </w:tc>
        <w:tc>
          <w:tcPr>
            <w:tcW w:w="344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五风格备选、规则与候选打包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形成合规备选与模型可选ID集合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模型选装</w:t>
            </w:r>
          </w:p>
        </w:tc>
        <w:tc>
          <w:tcPr>
            <w:tcW w:w="344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自主选装、违规明细修正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只提交候选ID和数量，不自报价格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独立复验</w:t>
            </w:r>
          </w:p>
        </w:tc>
        <w:tc>
          <w:tcPr>
            <w:tcW w:w="344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真实价格回填、配件对账、结果合并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保留合格提案，必要时使用规则备选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报告交付</w:t>
            </w:r>
          </w:p>
        </w:tc>
        <w:tc>
          <w:tcPr>
            <w:tcW w:w="344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完整报告生成、结束节点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输出摘要与锁定本轮单价的图文链接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搭建时先连通“输入—查询—核算—输出”的主路径，再补齐缺参、地图组合无效、取价失败和提案违规等分支。每个下游参数都应引用明确的上游输出。创建节点后仅有连线并不足以完成配置，还需要检查变量名称、类型和引用来源是否匹配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0" w:name="ReportHeading510"/>
      <w:r>
        <w:rPr>
          <w:color w:val="000000"/>
        </w:rPr>
        <w:t xml:space="preserve">模型与规则程序的职责分工</w:t>
      </w:r>
      <w:bookmarkEnd w:id="510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规则分支先为各风格生成合规备选，使模型提案失败时仍有可用结果。模型在候选ID范围内选择枪械、弹药、防护、携行与补给；代码回填真实单价并检查总价、口径、弹药等级、授权、头甲成本及医疗完整性。对不合格风格返回具体违规信息，修正节点据此调整；复验仍不通过时，使用有效备选或返回不可行原因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系统提示词约束模型的角色和输出格式，用户提示词传入本轮需求、候选与违规信息。模型提交物品ID和数量，代码再回填真实价格。这样既能利用模型理解偏好的能力，也能使费用核算与规则检查保持一致。报告区分模型选装、修正后方案与规则备选，保留结果来源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工作流精简后，节点数从早期52个减少到28个，随后增加报价节点形成当前29个节点；大模型节点由3个减少到2个。精简主要通过合并重复处理、删除不参与最终结果的路径，并将详细约束集中到代码实现。两个大模型节点表示选装与修正职责，不意味着每次请求固定消耗相同积分。[4]</w:t>
      </w:r>
    </w:p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11" w:name="ReportHeading511"/>
      <w:r>
        <w:rPr>
          <w:color w:val="000000"/>
        </w:rPr>
        <w:t xml:space="preserve">关键节点配置与实现</w:t>
      </w:r>
      <w:bookmarkEnd w:id="511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2" w:name="ReportHeading512"/>
      <w:r>
        <w:rPr>
          <w:color w:val="000000"/>
        </w:rPr>
        <w:t xml:space="preserve">开始节点与输入预处理</w:t>
      </w:r>
      <w:bookmarkEnd w:id="512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“开始：用户配装需求”是工作流入口，接收必填的request_json变量，类型为String。地图、难度、预算和授权信息写入该JSON字符串，再由“参数归一化与稀有授权检查”代码节点解析。表4列出JSON内部的主要字段；它们不是五个分别创建的开始节点输入。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表4 request_json内部字段说明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2449"/>
        <w:gridCol w:w="1542"/>
        <w:gridCol w:w="5079"/>
      </w:tblGrid>
      <w:tr>
        <w:trPr>
          <w:cantSplit/>
          <w:tblHeader/>
        </w:trPr>
        <w:tc>
          <w:tcPr>
            <w:tcW w:w="2449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字段</w:t>
            </w:r>
          </w:p>
        </w:tc>
        <w:tc>
          <w:tcPr>
            <w:tcW w:w="1542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类型</w:t>
            </w:r>
          </w:p>
        </w:tc>
        <w:tc>
          <w:tcPr>
            <w:tcW w:w="5079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配置与含义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map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必需；地图名称，例如航天基地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difficulty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必需；常规、机密、绝密或永夜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budget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必需；从零购入整套装备的预算，单位哈夫币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allow_rare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必需；是否授权六级头甲、AW等特殊物品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allow_damaged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w="5079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可选；默认true，用户禁止破损时设为false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参数处理节点的输入引用“开始—request_json”，输出valid、request和message。valid用于必填参数判断，request保存归一化后的需求，message用于缺参或异常提示。例如“大坝”转换为“零号大坝”，“普通”转换为“常规”，“40万”转换为400000。原始预算仍保留，由工作流按难度上限计算有效预算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“必填参数是否完整”条件分支将有效请求送往地图查询，信息不足则进入“缺失参数追问”。地图查询之后再检查该地图与难度的组合是否有规则；无匹配时返回具体提示。由此避免错误输入继续进入模型选装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3" w:name="ReportHeading513"/>
      <w:r>
        <w:rPr>
          <w:color w:val="000000"/>
        </w:rPr>
        <w:t xml:space="preserve">数据查询与HTTP报价节点</w:t>
      </w:r>
      <w:bookmarkEnd w:id="513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数据查询阶段分别读取地图门槛、物品快照、有效改装方案及枪体配件组成。报价节点采用HTTP GET，地址为https://moligod.com/api/armory/prices，请求超时15秒，节点异常兜底20秒且不重试；失败时向下游提供状态0和空对象。图1展示该报价节点的配置界面，V19沿用其取价逻辑。[3]</w:t>
      </w:r>
    </w:p>
    <w:p>
      <w:pPr>
        <w:pStyle w:val="aff0"/>
        <w:keepNext w:val="1"/>
      </w:pPr>
      <w:r>
        <w:rPr>
          <w:rFonts w:hint="eastAsia"/>
          <w:noProof/>
        </w:rPr>
        <w:drawing>
          <wp:inline distT="0" distB="0" distL="0" distR="0" wp14:anchorId="27265718" wp14:editId="600C2DDB">
            <wp:extent cx="5753100" cy="3238648"/>
            <wp:effectExtent l="0" t="0" r="0" b="0"/>
            <wp:docPr id="101" name="图1 HTTP价格获取节点配置" descr="图1 HTTP价格获取节点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1 HTTP价格获取节点配置" descr="图1 HTTP价格获取节点配置"/>
                    <pic:cNvPicPr/>
                  </pic:nvPicPr>
                  <pic:blipFill>
                    <a:blip r:embed="rIdReport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图1 HTTP价格获取节点配置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“报价校验、缺价排除与快照回退”节点将物品查询的outputList绑定到rows，将HTTP_STATUS_CODE绑定到status，将HTTP_BODY绑定到body。它输出items、price_map、price_meta和audit，分别供候选计算、统一定价、来源说明与诊断使用。后续“按本轮报价重算改枪总价与候选”节点按枪体和配件逐项累加，不能直接沿用旧改装总价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有效报价需同时满足：来源时间不超过30分钟、有效正整数报价至少500条、对现有物品的覆盖率至少70%。校验通过后，更新物品和每一项枪体配件的单价，重算完整改枪总价。若某个配件没有当前报价，则相关改装方案不能继续使用旧总价；缺价物品也从最新报价候选中排除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接口失败、响应格式异常、时间过期或覆盖不足时，系统整套使用2026年10月13日快照，并明确说明回退原因。该策略避免在同一份方案中混用新旧单价，从而使预算核算依据保持一致。正常取价表示获得第三方来源的最新报价快照，不承诺游戏内秒级成交价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4" w:name="ReportHeading514"/>
      <w:r>
        <w:rPr>
          <w:color w:val="000000"/>
        </w:rPr>
        <w:t xml:space="preserve">五种风格的候选筛选与预算约束</w:t>
      </w:r>
      <w:bookmarkEnd w:id="514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五个风格分支使用统一的物品与价格数据，分别生成可校验的规则备选，再汇总给大模型。各分支的差别主要体现在枪池、弹药策略、防具成本和补给选择，不需要为同一价格计算逻辑维护五套不同实现。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表5 五个配装板块的规则差异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1270"/>
        <w:gridCol w:w="2268"/>
        <w:gridCol w:w="5533"/>
      </w:tblGrid>
      <w:tr>
        <w:trPr>
          <w:cantSplit/>
          <w:tblHeader/>
        </w:trPr>
        <w:tc>
          <w:tcPr>
            <w:tcW w:w="1270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板块</w:t>
            </w:r>
          </w:p>
        </w:tc>
        <w:tc>
          <w:tcPr>
            <w:tcW w:w="2268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定位</w:t>
            </w:r>
          </w:p>
        </w:tc>
        <w:tc>
          <w:tcPr>
            <w:tcW w:w="5533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关键执行规则</w:t>
            </w:r>
          </w:p>
        </w:tc>
      </w:tr>
      <w:tr>
        <w:trPr>
          <w:cantSplit/>
        </w:trPr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猛攻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主动交战</w:t>
            </w:r>
          </w:p>
        </w:tc>
        <w:tc>
          <w:tcPr>
            <w:tcW w:w="55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绝密及150万以上机密至少五级弹；绝密补给与成色按预算选择</w:t>
            </w:r>
          </w:p>
        </w:tc>
      </w:tr>
      <w:tr>
        <w:trPr>
          <w:cantSplit/>
        </w:trPr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鼠鼠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低投入避战搜刮</w:t>
            </w:r>
          </w:p>
        </w:tc>
        <w:tc>
          <w:tcPr>
            <w:tcW w:w="55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绝密允许四级弹；优先入场与携行空间；两类受限背包仅允许本板块</w:t>
            </w:r>
          </w:p>
        </w:tc>
      </w:tr>
      <w:tr>
        <w:trPr>
          <w:cantSplit/>
        </w:trPr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花来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同口径修脚路线</w:t>
            </w:r>
          </w:p>
        </w:tc>
        <w:tc>
          <w:tcPr>
            <w:tcW w:w="55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限定枪池与肉伤弹；单独豁免机密及以上弹药等级下限</w:t>
            </w:r>
          </w:p>
        </w:tc>
      </w:tr>
      <w:tr>
        <w:trPr>
          <w:cantSplit/>
        </w:trPr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以小博大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低防护与高效枪弹</w:t>
            </w:r>
          </w:p>
        </w:tc>
        <w:tc>
          <w:tcPr>
            <w:tcW w:w="55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头甲不超过有效预算20%，且合计不超过20万</w:t>
            </w:r>
          </w:p>
        </w:tc>
      </w:tr>
      <w:tr>
        <w:trPr>
          <w:cantSplit/>
        </w:trPr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堵桥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高点架枪拦截</w:t>
            </w:r>
          </w:p>
        </w:tc>
        <w:tc>
          <w:tcPr>
            <w:tcW w:w="55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仅航天基地；G3、PSG-1或SR-25，强调中远距离持续压制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系统同时维护整套购买成本与入场装备价值。整套成本包括枪体和配件、头盔护甲、胸挂背包、弹药和全部补给；入场价值只计算枪械及配件、防护与携行装备。两项指标分开核算，避免将药品和子弹的花费误计为入场战备。各物品数量均须参与费用累加。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整套成本 = 枪械及配件 + 头甲 + 胸挂背包 + 弹药 + 补给</w:t>
        <w:br/>
        <w:t xml:space="preserve">入场价值 = 枪械及配件 + 头甲 + 胸挂背包</w:t>
        <w:br/>
        <w:t xml:space="preserve">有效预算 = min（用户预算，当前难度预算上限）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项目采用的预算封顶为常规150万、机密300万、绝密及永夜600万。预算是支出上限，不是必须花完的目标。对于以低投入为目的的风格，满足入场条件和基本生存需要后，可保留余款。搜索使用筛选与剪枝，未找到方案时仅表述为现有候选未找到满足约束的组合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猛攻不设置固定高价装备门槛。常规允许三至四级头甲，机密允许三头四甲或四头四甲；接受破损时，可从真实有价成色中选择。常规猛攻使用三级弹；机密预算严格超过20万时至少四级弹，达到150万时每把枪至少五级弹；绝密及永夜至少五级弹。枪械与防具可以随预算调整，弹药口径和规定弹级仍需满足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花来使用G18、勇士、SMG-45、UZI、S12K、MP5、QCQ171、AR57、MK4等既定修脚枪池，优先按口径匹配9×19 RIP、.45 ACP CT、12 Gauge 8.5毫米鹿弹等肉伤弹。为匹配指定弹药，候选中还保留相应左轮、杠杆枪及其他既定枪型。不能因弹药名称符合偏好，就给不同口径枪械混装。花来头甲允许不带或选择最高四级装备，合计上限为预算15%与15万的较小值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以小博大独立保留一般弹药规则，不享受花来的修脚弹豁免。堵桥强调在航天基地抢占高点后架枪拦截，允许D6战术头盔及Mask-1铁壁头盔，但仍检查价格、等级和成色授权。其他地图直接返回堵桥不适用，不用普通架枪方案冒充该板块。穿山甲通用战术包与HLS-2重型背包因格型限制，仅允许鼠鼠使用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5" w:name="ReportHeading515"/>
      <w:r>
        <w:rPr>
          <w:color w:val="000000"/>
        </w:rPr>
        <w:t xml:space="preserve">补给选择与预算不足处理</w:t>
      </w:r>
      <w:bookmarkEnd w:id="515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机密低预算猛攻优先保留合规枪弹和基础医疗：野战急救包、至少两支强效注射器、战术快拆手术包、止血和止痛。金色维修品、豪华增益针及更高档医疗按余款升级，不因这些可选物品过贵而排除低预算方案。V19将绝密猛攻的战地医疗箱改为预算内优先项：先保证五级弹、入场装备和基础医疗，再按余款升级金血包、维修及DEK、DVE、OE2。头盔至少四级、护甲至少五级，优先全新；允许破损时可选择有价破损成色。维修可不带，四级头选维修时可用紫色标准头盔维修包；五级头甲选维修时至少金修，六级至少红修。永夜规则保持不变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预算不足时，规则搜索记录当前候选中的最低完整支出，并拆分入场装备、弹药和基础补给费用。若消耗品挤占入场装备预算，提示费用缺口与建议提高的预算，保留猛攻五级弹。建议金额按万元向上取整，重新取价后仍需校验；候选最低值不等于全游戏最低价。绝密鼠鼠单独允许四级弹，以降低弹药开支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非完全裸装的鼠鼠、花来、以小博大和堵桥，同样需要基础回血、至少两支强效注射器、手术、止血与止痛。OE2属于体力补给，不能替代回血绿针。没有穿戴对应防具时不携带其维修包；需要维修时按用途去重，数量和价格全部计入预算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6" w:name="ReportHeading516"/>
      <w:r>
        <w:rPr>
          <w:color w:val="000000"/>
        </w:rPr>
        <w:t xml:space="preserve">大模型选装与独立复验</w:t>
      </w:r>
      <w:bookmarkEnd w:id="516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“大模型自主选装”节点接收本轮需求、规则与压缩候选。系统提示词限定角色、候选范围和输出结构，用户提示词提供本轮具体数据。输出进入“模型方案回填真实价格并硬校验”，按ID回填价格并检查枪弹口径、弹级、用户授权、总预算、入场价值及必要医疗。模型自报价格不作为核算依据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“大模型按违规明细修正选装”节点使用具体违规信息调整提案；其输出由“修正结果独立复验与保留合格方案”再次检查。合并阶段优先使用通过验证的模型方案，仍不合格的风格改用已验证备选。若备选也不可行，则保留失败原因。最后进行配件逐行对账，保证完整改装费用与最终报告一致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7" w:name="ReportHeading517"/>
      <w:r>
        <w:rPr>
          <w:color w:val="000000"/>
        </w:rPr>
        <w:t xml:space="preserve">报告生成与结束节点</w:t>
      </w:r>
      <w:bookmarkEnd w:id="517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“生成锁定本轮价格的完整报告”接收plans、request、rule和price_meta，输出简短output与完整report_url。结束节点汇集正常结果、缺参提示和地图异常提示，供聊天入口或页面入口读取。V20页面直接使用report_url展示报告，用户不需要等待聊天转述或复制长链接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报告将完整明细放入独立网页，聊天中不重复展开五套长表。链接中#r=后的内容承载本轮配装与价格数据，必须完整保留。V3报告保存选中物品单价及来源时间，打开历史链接时不重新请求行情，避免旧报告金额随市场变化。网页继续兼容V1和V2报告格式。</w:t>
      </w:r>
    </w:p>
    <w:p>
      <w:pPr>
        <w:pStyle w:val="aff0"/>
        <w:keepNext w:val="1"/>
      </w:pPr>
      <w:r>
        <w:rPr>
          <w:rFonts w:hint="eastAsia"/>
          <w:noProof/>
        </w:rPr>
        <w:drawing>
          <wp:inline distT="0" distB="0" distL="0" distR="0" wp14:anchorId="27265718" wp14:editId="600C2DDB">
            <wp:extent cx="5753100" cy="3238108"/>
            <wp:effectExtent l="0" t="0" r="0" b="0"/>
            <wp:docPr id="102" name="图2 航天基地绝密120万完整图文报告" descr="图2 航天基地绝密120万完整图文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2 航天基地绝密120万完整图文报告" descr="图2 航天基地绝密120万完整图文报告"/>
                    <pic:cNvPicPr/>
                  </pic:nvPicPr>
                  <pic:blipFill>
                    <a:blip r:embed="rIdReport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图2 航天基地绝密120万完整图文报告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图2显示猛攻、鼠鼠和花来的预算概览，页面下方继续展示头甲、携行与补给，顶部可切换五个板块。枪械图片为基础外观示意，具体改装以配件清单与改枪码为准。120万样例中猛攻为五级弹、鼠鼠为四级弹；页面校验与工作流规则同步后，原报告链接可正常打开。[8][10]</w:t>
      </w:r>
    </w:p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18" w:name="ReportHeading518"/>
      <w:r>
        <w:rPr>
          <w:color w:val="000000"/>
        </w:rPr>
        <w:t xml:space="preserve">交互式页面设计与操作流程</w:t>
      </w:r>
      <w:bookmarkEnd w:id="518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19" w:name="ReportHeading519"/>
      <w:r>
        <w:rPr>
          <w:color w:val="000000"/>
        </w:rPr>
        <w:t xml:space="preserve">页面结构与交互设计</w:t>
      </w:r>
      <w:bookmarkEnd w:id="519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V20参考实操手册案例三“待办助理”的单页面组织方式，在任务输入区下方展示处理结果，再提供历史记录入口。手册的页面设计与数据资源绑定内容位于印刷页205—208。配装场景的核心输入固定，因此将“地图、行动难度、整套预算”设置为主表单，让用户在点击“一键生成配装”后直接进入核算流程。[9]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在女娲“网页开发”中选择“创建—在线创建”，使用React模板建立“三角洲配装作战台”，填写页面说明，再通过自然语言描述生成表单、结果区和最近战报区。界面采用深绿色背景与黄绿色按钮，主操作保持清晰。表单默认长弓溪谷、常规、50万哈夫币；图3展示航天基地绝密120万的参数填写状态。</w:t>
      </w:r>
    </w:p>
    <w:p>
      <w:pPr>
        <w:pStyle w:val="aff0"/>
        <w:keepNext w:val="1"/>
      </w:pPr>
      <w:r>
        <w:rPr>
          <w:rFonts w:hint="eastAsia"/>
          <w:noProof/>
        </w:rPr>
        <w:drawing>
          <wp:inline distT="0" distB="0" distL="0" distR="0" wp14:anchorId="27265718" wp14:editId="600C2DDB">
            <wp:extent cx="5753100" cy="3236401"/>
            <wp:effectExtent l="0" t="0" r="0" b="0"/>
            <wp:docPr id="103" name="图3 交互式配装页面与主表单" descr="图3 交互式配装页面与主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3 交互式配装页面与主表单" descr="图3 交互式配装页面与主表单"/>
                    <pic:cNvPicPr/>
                  </pic:nvPicPr>
                  <pic:blipFill>
                    <a:blip r:embed="rIdReport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图3 交互式配装页面与主表单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地图与难度按照现有12条规则联动：零号大坝支持常规、机密和永夜；长弓溪谷与AZ3支持常规和机密；巴克什与航天基地支持机密和绝密；潮汐监狱支持绝密。切换地图后，若原难度不适用，页面自动选择该地图支持的首个难度。预算单位显式标为万哈夫币，并提供常用预算快捷按钮。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表6 页面控件与工作流字段映射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2540"/>
        <w:gridCol w:w="2358"/>
        <w:gridCol w:w="4172"/>
      </w:tblGrid>
      <w:tr>
        <w:trPr>
          <w:cantSplit/>
          <w:tblHeader/>
        </w:trPr>
        <w:tc>
          <w:tcPr>
            <w:tcW w:w="2540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页面控件</w:t>
            </w:r>
          </w:p>
        </w:tc>
        <w:tc>
          <w:tcPr>
            <w:tcW w:w="2358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提交字段</w:t>
            </w:r>
          </w:p>
        </w:tc>
        <w:tc>
          <w:tcPr>
            <w:tcW w:w="4172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默认值与处理</w:t>
            </w:r>
          </w:p>
        </w:tc>
      </w:tr>
      <w:tr>
        <w:trPr>
          <w:cantSplit/>
        </w:trPr>
        <w:tc>
          <w:tcPr>
            <w:tcW w:w="254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地图与行动难度</w:t>
            </w:r>
          </w:p>
        </w:tc>
        <w:tc>
          <w:tcPr>
            <w:tcW w:w="235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map、difficulty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长弓溪谷、常规；联动选择有效组合</w:t>
            </w:r>
          </w:p>
        </w:tc>
      </w:tr>
      <w:tr>
        <w:trPr>
          <w:cantSplit/>
        </w:trPr>
        <w:tc>
          <w:tcPr>
            <w:tcW w:w="254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整套预算</w:t>
            </w:r>
          </w:p>
        </w:tc>
        <w:tc>
          <w:tcPr>
            <w:tcW w:w="235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budget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默认50万；正数、最多两位小数，乘10000后取整</w:t>
            </w:r>
          </w:p>
        </w:tc>
      </w:tr>
      <w:tr>
        <w:trPr>
          <w:cantSplit/>
        </w:trPr>
        <w:tc>
          <w:tcPr>
            <w:tcW w:w="254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允许特殊物品</w:t>
            </w:r>
          </w:p>
        </w:tc>
        <w:tc>
          <w:tcPr>
            <w:tcW w:w="235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allow_rare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默认false；在更多选项中主动开启</w:t>
            </w:r>
          </w:p>
        </w:tc>
      </w:tr>
      <w:tr>
        <w:trPr>
          <w:cantSplit/>
        </w:trPr>
        <w:tc>
          <w:tcPr>
            <w:tcW w:w="254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接受破损防具</w:t>
            </w:r>
          </w:p>
        </w:tc>
        <w:tc>
          <w:tcPr>
            <w:tcW w:w="235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allow_damaged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默认true；关闭后提交false</w:t>
            </w:r>
          </w:p>
        </w:tc>
      </w:tr>
      <w:tr>
        <w:trPr>
          <w:cantSplit/>
        </w:trPr>
        <w:tc>
          <w:tcPr>
            <w:tcW w:w="254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一键生成配装</w:t>
            </w:r>
          </w:p>
        </w:tc>
        <w:tc>
          <w:tcPr>
            <w:tcW w:w="235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request_json</w:t>
            </w:r>
          </w:p>
        </w:tc>
        <w:tc>
          <w:tcPr>
            <w:tcW w:w="417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将以上字段序列化为单个JSON字符串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“更多选项”默认折叠，包含特殊物品授权和破损防具偏好。页面会解释特殊物品包括六级头甲、AW、红色背包、金色及以上胸挂，避免用户不知情地开启授权。预算为0或格式不合法时先在页面提示；超过难度预算上限时说明封顶规则，仍提交用户原始预算，由工作流统一处理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0" w:name="ReportHeading520"/>
      <w:r>
        <w:rPr>
          <w:color w:val="000000"/>
        </w:rPr>
        <w:t xml:space="preserve">数据资源绑定与结果展示</w:t>
      </w:r>
      <w:bookmarkEnd w:id="520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页面创建后，进入“数据”标签，在“数据资源”右侧点击“＋”，选择已发布的df_搭配_绝密预算V19_1工作流并添加。数据资源绑定成功后，页面生成器依据该资源实际提供的接口定义完成调用。主按钮直接执行绑定资源，不把表单内容拼成一句聊天消息，也不再次调用主智能体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工作流只有一个开始节点输入request_json，类型为String。页面将地图、难度、转换后的哈夫币预算以及两项布尔选项组成对象，再用JSON.stringify序列化后传入。返回时解析success、message与data中的output、report_url、missing_input和map_error，成功结果进入报告区，参数或调用错误显示具体提示。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页面表单 → 参数校验与单位转换 → request_json</w:t>
        <w:br/>
        <w:t xml:space="preserve">→ 已绑定配装工作流 → output与report_url</w:t>
        <w:br/>
        <w:t xml:space="preserve">→ 页面摘要与完整图文报告 → 本机最近战报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生成期间按钮禁用并显示正在核价，避免用户连点造成重复请求。结果标题使用本次提交时的参数快照，后续修改表单不会改变旧报告的地图和预算。页面保留失败提示与重试入口；某一种打法无可行方案时，仍展示其他打法和完整报告中的失败原因。</w:t>
      </w:r>
    </w:p>
    <w:p>
      <w:pPr>
        <w:pStyle w:val="aff0"/>
        <w:keepNext w:val="1"/>
      </w:pPr>
      <w:r>
        <w:rPr>
          <w:rFonts w:hint="eastAsia"/>
          <w:noProof/>
        </w:rPr>
        <w:drawing>
          <wp:inline distT="0" distB="0" distL="0" distR="0" wp14:anchorId="27265718" wp14:editId="600C2DDB">
            <wp:extent cx="5753100" cy="3236401"/>
            <wp:effectExtent l="0" t="0" r="0" b="0"/>
            <wp:docPr id="104" name="图4 页面摘要与嵌入式完整图文报告" descr="图4 页面摘要与嵌入式完整图文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4 页面摘要与嵌入式完整图文报告" descr="图4 页面摘要与嵌入式完整图文报告"/>
                    <pic:cNvPicPr/>
                  </pic:nvPicPr>
                  <pic:blipFill>
                    <a:blip r:embed="rIdReport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图4 页面摘要与嵌入式完整图文报告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如图4所示，页面使用iframe嵌入原有报告，并提供新窗口查看和复制链接按钮。完整report_url及#r=后的数据原样保留，装备图片、配件清单、改枪码和生成时价格不被压缩成聊天正文。最近战报保存最近五份成功结果的请求、时间、摘要与完整链接；该记录位于当前浏览器本地，刷新后可回看，但不表示跨设备同步。[11]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1" w:name="ReportHeading521"/>
      <w:r>
        <w:rPr>
          <w:color w:val="000000"/>
        </w:rPr>
        <w:t xml:space="preserve">用户操作流程</w:t>
      </w:r>
      <w:bookmarkEnd w:id="521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第一步，打开智能体默认展开的配装作战台，或直接进入已发布页面。在地图下拉框选择目标地图，再选择可用难度。第二步，输入整套预算，例如120表示120万哈夫币；预算包含枪械配件、装备、弹药和补给。需要特殊装备或不接受破损防具时，展开更多选项进行调整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第三步，点击“一键生成配装”，等待核价完成。第四步，在结果区比较各打法总价，并滚动查看装备图片、弹药等级、补给和改枪配件；页面内阅读空间不足时，点击“新窗口查看完整报告”。如遇预算不足，按提示提高预算后重新生成，不能把建议预算当成已经生成的方案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第五步，需要回看时从“最近战报”选择原记录，或使用复制的完整报告链接。历史报告保留原生成时价格；准备购买前再次核价。课堂演示可先展示一份正式生成的报告，再演示刷新后的恢复操作，说明历史记录的保存位置。</w:t>
      </w:r>
    </w:p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22" w:name="ReportHeading522"/>
      <w:r>
        <w:rPr>
          <w:color w:val="000000"/>
        </w:rPr>
        <w:t xml:space="preserve">智能体配置与发布</w:t>
      </w:r>
      <w:bookmarkEnd w:id="522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3" w:name="ReportHeading523"/>
      <w:r>
        <w:rPr>
          <w:color w:val="000000"/>
        </w:rPr>
        <w:t xml:space="preserve">系统提示词配置</w:t>
      </w:r>
      <w:bookmarkEnd w:id="523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工作流完成后，在主智能体的系统提示词区域配置角色、参数收集、工具调用和输出约束。角色设为国服PC端三角洲行动烽火地带配装助手；交互要求是缺项才追问、已有授权不重复询问；调用要求是将原始需求封装为request_json，预算偏低也先进入工作流核算。关键片段见附录A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主提示词只保留稳定的行为约束和关键风格边界，详细枪池、价格与补给规则交给工作流执行。它还要求仅引用本轮工具返回的金额和链接，异步受理后不猜测结果、不重复调用，不能截断report_url或复用上轮报告。这样可以减少模型自由复述对事实和链接完整性的影响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4" w:name="ReportHeading524"/>
      <w:r>
        <w:rPr>
          <w:color w:val="000000"/>
        </w:rPr>
        <w:t xml:space="preserve">工作流绑定与异步设置</w:t>
      </w:r>
      <w:bookmarkEnd w:id="524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首先发布已调试的工作流，再在主智能体的“工具—工作流”中添加当前版本。现有智能体绑定df_搭配_绝密预算V19_1，已移除原V18_2绑定。绑定后将调用方式设为按需调用，开启异步运行，将直接输出选项设为“否”（directOutput为0），分别保存设置，再发布主智能体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异步任务受理后，主智能体仅提示正在核算；任务完成后由平台写回摘要和链接。如果结果没有即时出现，先刷新当前会话检查，不立即重复发送。此前验证使用3轮模型上下文，控制历史文本进入模型的长度；完整配装仍通过历史报告链接保存，不能把缩短上下文理解为删除报告明细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5" w:name="ReportHeading525"/>
      <w:r>
        <w:rPr>
          <w:color w:val="000000"/>
        </w:rPr>
        <w:t xml:space="preserve">页面组件绑定与默认展开</w:t>
      </w:r>
      <w:bookmarkEnd w:id="525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完成页面调试后，在页面编辑器选择“发布—发布成组件”。回到原智能体的“界面配置—页面”，点击添加并选择“三角洲配装作战台”，再开启“展开页面区”。这一设置与手册待办助理的页面组件绑定方式一致，使用户进入智能体后能直接看到表单。[9]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开场白相应改为表单操作引导，说明更多选项与本机战报。主提示词补充页面已直接执行工作流、不得因页面提交重复发起聊天调用等约束，同时保留用户主动聊天时的原有处理方式。保存配置后发布主智能体，发布范围沿用个人空间；页面组件和主智能体分别发布，避免只保存草稿而没有更新入口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6" w:name="ReportHeading526"/>
      <w:r>
        <w:rPr>
          <w:color w:val="000000"/>
        </w:rPr>
        <w:t xml:space="preserve">试运行与发布检查</w:t>
      </w:r>
      <w:bookmarkEnd w:id="526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调试时先在工作流中输入一份完整request_json，检查参数处理、地图查询、价格模式和结束节点输出；再从智能体对话发起同样需求，确认调用的是当前工作流。最后打开实际返回的报告，检查图片、金额、弹药与补给，并刷新会话再次打开同一链接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发布检查同时覆盖工作流、智能体绑定、交互页面和报告校验。各组件修改后分别发布，再通过实际操作验证。既有配置备份与在线运行记录用于核对节点引用和最终效果。[3][8][11]</w:t>
      </w:r>
    </w:p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27" w:name="ReportHeading527"/>
      <w:r>
        <w:rPr>
          <w:color w:val="000000"/>
        </w:rPr>
        <w:t xml:space="preserve">试运行与效果验证</w:t>
      </w:r>
      <w:bookmarkEnd w:id="527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8" w:name="ReportHeading528"/>
      <w:r>
        <w:rPr>
          <w:color w:val="000000"/>
        </w:rPr>
        <w:t xml:space="preserve">测试设计与检查方法</w:t>
      </w:r>
      <w:bookmarkEnd w:id="528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试运行覆盖代码回归、工作流节点对比、真实在线调用、报告打开和会话保存。代码回归检查规则边界与异常输入；节点对比检查平台脚本与独立引擎是否一致；在线调用验证实际参数传递；报告检查继续核对渲染规则与图片；保存测试比较刷新前后的完整URL。各层结果分别记录，不能用“链接已生成”替代“报告可打开”。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表7 主要测试层次与证据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1995"/>
        <w:gridCol w:w="3084"/>
        <w:gridCol w:w="3991"/>
      </w:tblGrid>
      <w:tr>
        <w:trPr>
          <w:cantSplit/>
          <w:tblHeader/>
        </w:trPr>
        <w:tc>
          <w:tcPr>
            <w:tcW w:w="1995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测试层次</w:t>
            </w:r>
          </w:p>
        </w:tc>
        <w:tc>
          <w:tcPr>
            <w:tcW w:w="3084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覆盖范围</w:t>
            </w:r>
          </w:p>
        </w:tc>
        <w:tc>
          <w:tcPr>
            <w:tcW w:w="399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检查结果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独立引擎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V19共16项自动测试</w:t>
            </w:r>
          </w:p>
        </w:tc>
        <w:tc>
          <w:tcPr>
            <w:tcW w:w="399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弹级、成色授权、紫头修及基础医疗等通过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工作流代码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7组场景×5风格</w:t>
            </w:r>
          </w:p>
        </w:tc>
        <w:tc>
          <w:tcPr>
            <w:tcW w:w="399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状态、金额及失败原因与独立引擎一致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女娲在线调用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航天绝密100万和120万</w:t>
            </w:r>
          </w:p>
        </w:tc>
        <w:tc>
          <w:tcPr>
            <w:tcW w:w="399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6套有效方案通过费用、口径、装备和补给检查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报告网页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2份真实报告及360组弹药规则</w:t>
            </w:r>
          </w:p>
        </w:tc>
        <w:tc>
          <w:tcPr>
            <w:tcW w:w="399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修复鼠鼠四级弹拦截；金额和预算检查仍生效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历史保存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刷新前后4条已加载链接</w:t>
            </w:r>
          </w:p>
        </w:tc>
        <w:tc>
          <w:tcPr>
            <w:tcW w:w="399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逐字一致，包含两条V19新报告</w:t>
            </w:r>
          </w:p>
        </w:tc>
      </w:tr>
    </w:tbl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29" w:name="ReportHeading529"/>
      <w:r>
        <w:rPr>
          <w:color w:val="000000"/>
        </w:rPr>
        <w:t xml:space="preserve">代表性场景与运行结果</w:t>
      </w:r>
      <w:bookmarkEnd w:id="529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在线测试输入分别为“航天基地，绝密，整套预算100万，允许特殊物品，接受破损防具”和将预算提高到120万后的同场景请求。两轮使用2026年10月18日16:47与16:49左右的来源报价，结果见表8。表中金额均为哈夫币，不代表之后购买时的固定价格。[8]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表8 航天绝密两轮在线测试结果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1451"/>
        <w:gridCol w:w="1633"/>
        <w:gridCol w:w="1451"/>
        <w:gridCol w:w="1451"/>
        <w:gridCol w:w="1633"/>
        <w:gridCol w:w="1451"/>
      </w:tblGrid>
      <w:tr>
        <w:trPr>
          <w:cantSplit/>
          <w:tblHeader/>
        </w:trPr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预算</w:t>
            </w:r>
          </w:p>
        </w:tc>
        <w:tc>
          <w:tcPr>
            <w:tcW w:w="1633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猛攻</w:t>
            </w:r>
          </w:p>
        </w:tc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鼠鼠</w:t>
            </w:r>
          </w:p>
        </w:tc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花来</w:t>
            </w:r>
          </w:p>
        </w:tc>
        <w:tc>
          <w:tcPr>
            <w:tcW w:w="1633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以小博大</w:t>
            </w:r>
          </w:p>
        </w:tc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堵桥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1,000,000</w:t>
            </w:r>
          </w:p>
        </w:tc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无可行方案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726,217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861,602</w:t>
            </w:r>
          </w:p>
        </w:tc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无可行方案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无可行方案</w:t>
            </w:r>
          </w:p>
        </w:tc>
      </w:tr>
      <w:tr>
        <w:trPr>
          <w:cantSplit/>
        </w:trPr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1,200,000</w:t>
            </w:r>
          </w:p>
        </w:tc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1,199,974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798,851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931,238</w:t>
            </w:r>
          </w:p>
        </w:tc>
        <w:tc>
          <w:tcPr>
            <w:tcW w:w="1633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1,194,647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无可行方案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100万预算下，猛攻候选最低完整支出为1092190，其中入场装备646741、弹药399330、基础补给46119，差额92190，系统提示提高至约110万后重新核价。120万时猛攻可以输出五级弹方案，两轮鼠鼠均使用四级弹。120万堵桥候选最低支出仍为1200633，超过预算633，系统据实提示提高至约121万，没有输出超预算清单。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表9 不同地图与预算的历史在线样例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2268"/>
        <w:gridCol w:w="1451"/>
        <w:gridCol w:w="1542"/>
        <w:gridCol w:w="816"/>
        <w:gridCol w:w="1451"/>
        <w:gridCol w:w="1542"/>
      </w:tblGrid>
      <w:tr>
        <w:trPr>
          <w:cantSplit/>
          <w:tblHeader/>
        </w:trPr>
        <w:tc>
          <w:tcPr>
            <w:tcW w:w="2268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地图与难度</w:t>
            </w:r>
          </w:p>
        </w:tc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预算</w:t>
            </w:r>
          </w:p>
        </w:tc>
        <w:tc>
          <w:tcPr>
            <w:tcW w:w="1542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猛攻总价</w:t>
            </w:r>
          </w:p>
        </w:tc>
        <w:tc>
          <w:tcPr>
            <w:tcW w:w="816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弹级</w:t>
            </w:r>
          </w:p>
        </w:tc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花来头甲</w:t>
            </w:r>
          </w:p>
        </w:tc>
        <w:tc>
          <w:tcPr>
            <w:tcW w:w="1542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以小博大头甲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长弓溪谷机密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500,000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498,308</w:t>
            </w:r>
          </w:p>
        </w:tc>
        <w:tc>
          <w:tcPr>
            <w:tcW w:w="816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29,179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7,083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航天基地机密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1,500,000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1,499,667</w:t>
            </w:r>
          </w:p>
        </w:tc>
        <w:tc>
          <w:tcPr>
            <w:tcW w:w="816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126,126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178,089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航天基地绝密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4,000,000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3,934,690</w:t>
            </w:r>
          </w:p>
        </w:tc>
        <w:tc>
          <w:tcPr>
            <w:tcW w:w="816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128,361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180,324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零号大坝常规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500,000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445,638</w:t>
            </w:r>
          </w:p>
        </w:tc>
        <w:tc>
          <w:tcPr>
            <w:tcW w:w="816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29,179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29,179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航天机密复验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1,500,000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1,498,146</w:t>
            </w:r>
          </w:p>
        </w:tc>
        <w:tc>
          <w:tcPr>
            <w:tcW w:w="816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128,361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180,324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表9保留V18的代表性历史结果。其金额来自2026年10月18日对应轮次报价，主要用于说明不同地图、难度与预算下的规则表现。150万机密猛攻使用五级弹，常规猛攻使用三级弹；花来与以小博大头甲成本分别满足各自上限，非航天地图的堵桥返回不适用。[3]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V19另用同一批最新报价完成100万、120万、150万、400万绝密，以及150万禁止破损、机密150万、常规50万共7组本地节点对比。该批100万猛攻建议约108万，与表8在线建议约110万的差异来自报价批次，应按各自生成时间理解。自动测试同时确认四级头可配紫头修、金血包和维修可选，以及删除必要绿针会被拒绝。[7]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30" w:name="ReportHeading530"/>
      <w:r>
        <w:rPr>
          <w:color w:val="000000"/>
        </w:rPr>
        <w:t xml:space="preserve">交互式页面实测</w:t>
      </w:r>
      <w:bookmarkEnd w:id="530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2026年10月19日，通过页面按钮完成三组请求，结果见表10。前两组用于页面联调，第三组在正式发布的prod页面中执行。测试沿用V19业务规则，每次获取最新可用报价，因而金额不应与前一天的历史测试强行对应。[11]</w:t>
      </w:r>
    </w:p>
    <w:p>
      <w:pPr>
        <w:pStyle w:val="a1"/>
        <w:keepNext w:val="1"/>
        <w:widowControl w:val="1"/>
        <w:suppressAutoHyphens w:val="1"/>
        <w:ind w:firstLine="0" w:firstLineChars="0"/>
        <w:jc w:val="center"/>
        <w:numPr>
          <w:numId w:val="0"/>
        </w:numPr>
        <w:spacing w:before="80" w:after="100"/>
      </w:pPr>
      <w:r>
        <w:rPr>
          <w:color w:val="000000"/>
          <w:sz w:val="22"/>
          <w:szCs w:val="22"/>
        </w:rPr>
        <w:t xml:space="preserve">表10 V20交互式页面调用结果</w:t>
      </w:r>
    </w:p>
    <w:tbl>
      <w:tblPr>
        <w:tblStyle w:val="aff9"/>
        <w:tblW w:w="9070" w:type="dxa"/>
        <w:jc w:val="center"/>
        <w:tblLook w:val="04E0" w:firstRow="1" w:lastRow="1" w:firstColumn="1" w:lastColumn="0" w:noHBand="0" w:noVBand="1"/>
        <w:tblLayout w:type="fixed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70" w:type="dxa"/>
          <w:right w:w="70" w:type="dxa"/>
        </w:tblCellMar>
      </w:tblPr>
      <w:tblGrid>
        <w:gridCol w:w="2177"/>
        <w:gridCol w:w="1451"/>
        <w:gridCol w:w="1360"/>
        <w:gridCol w:w="1360"/>
        <w:gridCol w:w="1451"/>
        <w:gridCol w:w="1270"/>
      </w:tblGrid>
      <w:tr>
        <w:trPr>
          <w:cantSplit/>
          <w:tblHeader/>
        </w:trPr>
        <w:tc>
          <w:tcPr>
            <w:tcW w:w="2177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场景与预算</w:t>
            </w:r>
          </w:p>
        </w:tc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猛攻</w:t>
            </w:r>
          </w:p>
        </w:tc>
        <w:tc>
          <w:tcPr>
            <w:tcW w:w="1360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鼠鼠</w:t>
            </w:r>
          </w:p>
        </w:tc>
        <w:tc>
          <w:tcPr>
            <w:tcW w:w="1360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花来</w:t>
            </w:r>
          </w:p>
        </w:tc>
        <w:tc>
          <w:tcPr>
            <w:tcW w:w="1451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以小博大</w:t>
            </w:r>
          </w:p>
        </w:tc>
        <w:tc>
          <w:tcPr>
            <w:tcW w:w="1270" w:type="dxa"/>
            <w:vAlign w:val="center"/>
            <w:tcBorders>
              <w:bottom w:val="single" w:sz="6" w:color="000000"/>
            </w:tcBorders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  <w:b/>
              </w:rPr>
              <w:t xml:space="preserve">堵桥</w:t>
            </w:r>
          </w:p>
        </w:tc>
      </w:tr>
      <w:tr>
        <w:trPr>
          <w:cantSplit/>
        </w:trPr>
        <w:tc>
          <w:tcPr>
            <w:tcW w:w="217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长弓常规50万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498,962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179,901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239,382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168,755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217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航天绝密100万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预算不足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813,027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无方案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998,164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1"/>
            </w:pPr>
            <w:r>
              <w:rPr>
                <w:color w:val="000000"/>
                <w:sz w:val="21"/>
                <w:szCs w:val="21"/>
              </w:rPr>
              <w:t xml:space="preserve">预算不足</w:t>
            </w:r>
          </w:p>
        </w:tc>
      </w:tr>
      <w:tr>
        <w:trPr>
          <w:cantSplit/>
        </w:trPr>
        <w:tc>
          <w:tcPr>
            <w:tcW w:w="2177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left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航天绝密120万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1,199,230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808,414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848,176</w:t>
            </w:r>
          </w:p>
        </w:tc>
        <w:tc>
          <w:tcPr>
            <w:tcW w:w="1451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1,197,786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 w:line="260" w:lineRule="auto"/>
              <w:ind w:firstLine="0" w:firstLineChars="0"/>
              <w:widowControl w:val="1"/>
              <w:suppressAutoHyphens w:val="1"/>
              <w:pStyle w:val="a4"/>
              <w:numPr>
                <w:numId w:val="0"/>
              </w:numPr>
              <w:jc w:val="center"/>
              <w:keepNext w:val="0"/>
            </w:pPr>
            <w:r>
              <w:rPr>
                <w:color w:val="000000"/>
                <w:sz w:val="21"/>
                <w:szCs w:val="21"/>
              </w:rPr>
              <w:t xml:space="preserve">1,191,015</w:t>
            </w:r>
          </w:p>
        </w:tc>
      </w:tr>
    </w:tbl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100万样例中，猛攻保留五级弹要求，当前候选最低完整支出为1018882，系统提示提高至约102万后重新核价；鼠鼠仍能给出可行方案。正式页面120万样例中，五套方案均未超预算，猛攻、以小博大与堵桥使用五级弹，鼠鼠使用四级弹，花来按同口径修脚弹规则使用三级弹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交互检查确认：预算0会在提交前拦截，地图和难度可联动；生成期间按钮禁用，成功后完整报告在页面内加载。120万报告的复制链接与原始report_url逐字一致，刷新正式页面后，从最近战报恢复的链接也逐字一致。此次结论对应三组配装与本机刷新回看，不替代跨设备同步或长期压力测试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31" w:name="ReportHeading531"/>
      <w:r>
        <w:rPr>
          <w:color w:val="000000"/>
        </w:rPr>
        <w:t xml:space="preserve">典型问题与优化处理</w:t>
      </w:r>
      <w:bookmarkEnd w:id="531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会话保存方面，早期五套清单及图片链接在聊天正文中反复展开，增加了长会话负担。优化后采用异步执行、短摘要和完整报告分离，保留全部业务明细。验证时既逐字符比较刷新前后的完整URL，也检查较早历史是否只是尚未分页加载。V17首次刷新仅出现7条链接，加载较早记录后恢复到10条；V19本次4条已加载链接刷新后保持一致。[5][8]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报告展示方面，V19允许绝密鼠鼠使用四级弹后，独立网页仍沿用绝密统一五级下限，导致出现“弹药等级未通过检查”。问题位于展示校验与工作流规则的不同步。修复将绝密鼠鼠下限调整为四级，保留猛攻五级弹要求，更新网页资源版本，并在错误提示中加入板块与弹药信息。随后用两份真实报告和360组规则组合复测，原120万链接在线打开正常，图片及清单保留。[10]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这些问题说明，智能体调试应延伸到用户最终看到的结果。一次完整验收应从输入需求开始，依次确认工具执行、金额与规则、报告打开以及刷新后回看。只验证单个节点运行成功，容易遗漏跨组件的规则差异。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32" w:name="ReportHeading532"/>
      <w:r>
        <w:rPr>
          <w:color w:val="000000"/>
        </w:rPr>
        <w:t xml:space="preserve">测试范围与后续改进</w:t>
      </w:r>
      <w:bookmarkEnd w:id="532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现有多轮保存结论对应已登录的预览与调试会话及记录中的轮次，不代表无限轮次压力测试。接口异常回退完成了本地模拟，未在生产环境强制断网验证底层超时。后续可补充更多客户端和连续轮次，以及新赛季目录变化、极端行情与报价缺失等场景。</w:t>
      </w:r>
    </w:p>
    <w:p>
      <w:pPr>
        <w:pStyle w:val="1"/>
        <w:keepNext w:val="1"/>
        <w:wordWrap/>
        <w:spacing w:before="120" w:after="120"/>
        <w:widowControl w:val="1"/>
        <w:suppressAutoHyphens w:val="1"/>
        <w:ind w:firstLine="0" w:firstLineChars="0"/>
      </w:pPr>
      <w:bookmarkStart w:id="533" w:name="ReportHeading533"/>
      <w:r>
        <w:rPr>
          <w:color w:val="000000"/>
        </w:rPr>
        <w:t xml:space="preserve">成果发布与课程实践总结</w:t>
      </w:r>
      <w:bookmarkEnd w:id="533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34" w:name="ReportHeading534"/>
      <w:r>
        <w:rPr>
          <w:color w:val="000000"/>
        </w:rPr>
        <w:t xml:space="preserve">女娲版与独立技能版</w:t>
      </w:r>
      <w:bookmarkEnd w:id="534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女娲版提供表单、聊天和图文报告入口，V20页面发布成组件并默认展开。GitHub独立技能版提供数据、规则引擎、候选校验与HTML报告生成，需Node.js 22及以上，无npm运行依赖；女娲页面源代码未随独立技能包分发。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项目已建立公开仓库https://github.com/XqCIA/df_loadout，分发时必须保留.agents/skills/delta-loadout目录，其中包含SKILL.md、data、references和scripts。仓库说明、示例与测试不能替代这一核心目录。核心目录已补齐，仓库下载版通过测试与报告生成验证；WorkBuddy按技能ZIP导入方式准备，但客户端导入尚未实际验证，不等同于已经上架技能市场。[1]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35" w:name="ReportHeading535"/>
      <w:r>
        <w:rPr>
          <w:color w:val="000000"/>
        </w:rPr>
        <w:t xml:space="preserve">版本维护与复现方法</w:t>
      </w:r>
      <w:bookmarkEnd w:id="535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规则变化需同步候选生成、最终校验和报告检查；目录变化需核对枪体、配件与改枪码；报价变化需检查时效、覆盖率与缺价处理。发布时保留配置、源码版本和测试记录，并实际打开报告验证。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女娲端复现顺序为：准备数据表并核对字段，导入并调试工作流，发布工作流，创建页面并绑定数据资源，发布页面组件，再绑定主智能体并开启“展开页面区”，最后进行表单提交、聊天调用及历史回看。独立技能版从GitHub获取完整目录，通过命令行生成结果及HTML报告；具体入口见附录B。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</w:pPr>
      <w:bookmarkStart w:id="536" w:name="ReportHeading536"/>
      <w:r>
        <w:rPr>
          <w:color w:val="000000"/>
        </w:rPr>
        <w:t xml:space="preserve">课程实践体会</w:t>
      </w:r>
      <w:bookmarkEnd w:id="536"/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本次实践把提示词、数据表、工作流与交互页面连接起来。大模型选择候选，代码核验规则，页面收集参数并展示结果。地图、难度、预算适合表单输入，需要详细表达偏好时仍可使用聊天。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低预算优化需要区分必须保留的规则与可按余额调整的配置。页面化让用户更容易使用这套计算能力。课程成果包括工作流、交互页面、测试和图文报告；演示视频围绕表单提交、规则核验与历史回看展开。</w:t>
      </w:r>
    </w:p>
    <w:p>
      <w:pPr>
        <w:spacing w:before="0" w:after="0" w:line="20" w:lineRule="exact"/>
        <w:ind w:firstLine="480"/>
        <w:widowControl w:val="1"/>
        <w:suppressAutoHyphens w:val="1"/>
        <w:pStyle w:val="a4"/>
        <w:sectPr>
          <w:headerReference w:type="default" r:id="rId24"/>
          <w:footerReference w:type="default" r:id="rId19"/>
          <w:pgSz w:w="11906" w:h="16838"/>
          <w:pgMar w:top="1418" w:right="1418" w:bottom="1418" w:left="1418" w:header="851" w:footer="992" w:gutter="0"/>
          <w:cols w:space="425"/>
          <w:docGrid w:linePitch="326"/>
          <w:type w:val="nextPage"/>
        </w:sectPr>
      </w:pPr>
      <w:r>
        <w:rPr>
          <w:color w:val="000000"/>
        </w:rPr>
        <w:t xml:space="preserve"/>
      </w:r>
      <w:r>
        <w:rPr>
          <w:color w:val="000000"/>
          <w:sz w:val="2"/>
          <w:szCs w:val="2"/>
        </w:rPr>
        <w:t xml:space="preserve"/>
      </w:r>
    </w:p>
    <w:p>
      <w:pPr>
        <w:pStyle w:val="1"/>
        <w:keepNext w:val="1"/>
        <w:numPr>
          <w:ilvl w:val="0"/>
          <w:numId w:val="0"/>
        </w:numPr>
        <w:wordWrap/>
        <w:spacing w:before="120" w:after="120"/>
        <w:ind w:left="200" w:hanging="200" w:firstLine="0" w:firstLineChars="0"/>
        <w:widowControl w:val="1"/>
        <w:suppressAutoHyphens w:val="1"/>
        <w:jc w:val="center"/>
      </w:pPr>
      <w:bookmarkStart w:id="537" w:name="ReportHeading537"/>
      <w:r>
        <w:rPr>
          <w:color w:val="000000"/>
        </w:rPr>
        <w:t xml:space="preserve">参考文献</w:t>
      </w:r>
      <w:bookmarkEnd w:id="537"/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[1] XqCIA. df_loadout 三角洲行动配装技能项目[EB/OL]. https://github.com/XqCIA/df_loadout, 访问日期2026-10-18.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[2] MOLIGOD. 三角洲行动交易与军械资料[DB/OL]. https://moligod.com/trade/; https://moligod.com/armory/. 项目目录快照日期2026-10-13.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[3] 本项目. V18价格节点与测试记录及发布配置导出[R]. 2026-10-18. 对应soak_v18_runs_audit.json、v18_persistence.json与v18_deployment_check.json.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[4] 本项目. V17整体审查与移植说明及工作流等价回归记录[R]. 2026-10-18. 对应v17_graph_regression.json.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[5] 本项目. V17在线四轮复测记录[R]. 2026-10-18. 对应soak_v17_runs_audit.json与soak_v17_persistence.json.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[6] 本项目. 独立技能包自动测试与解压运行记录[R]. 2026-10-18. 对应engine.test.mjs与pricing.test.mjs.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[7] 本项目. V19绝密预算策略与导出节点复测[R]. 2026-10-18. 对应budget-v19.test.mjs与v19_graph_test.json.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[8] 本项目. V19女娲在线两轮测试与保存验证[R]. 2026-10-18. 对应soak_v19_runs_audit.json与v19_persistence.json.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[9] 智能体案例搭建实操手册[Z]. 课程参考材料. 第六章AI智能体产品搭建，6.2及6.3节，印刷页169—208. 阅读日期2026-10-19.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[10] 本项目. V19报告网页校验修复与回归记录[R]. 2026-10-18. 对应test_report_v19.mjs、v19_report_regression.json及修复后在线报告截图.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[11] 本项目. V20交互式页面实施与实测记录[R]. 2026-10-19. 对应V20交互式页面实施记录、v20_form_test_50.json、v20_form_test_100.json、v20_form_test_120.json及页面截图.</w:t>
      </w:r>
    </w:p>
    <w:p>
      <w:pPr>
        <w:spacing w:before="0" w:after="0" w:line="20" w:lineRule="exact"/>
        <w:ind w:firstLine="480"/>
        <w:widowControl w:val="1"/>
        <w:suppressAutoHyphens w:val="1"/>
        <w:pStyle w:val="a4"/>
        <w:sectPr>
          <w:headerReference w:type="default" r:id="rId24"/>
          <w:footerReference w:type="default" r:id="rId19"/>
          <w:pgSz w:w="11906" w:h="16838"/>
          <w:pgMar w:top="1418" w:right="1418" w:bottom="1418" w:left="1418" w:header="851" w:footer="992" w:gutter="0"/>
          <w:cols w:space="425"/>
          <w:docGrid w:linePitch="326"/>
          <w:type w:val="nextPage"/>
        </w:sectPr>
      </w:pPr>
      <w:r>
        <w:rPr>
          <w:color w:val="000000"/>
        </w:rPr>
        <w:t xml:space="preserve"/>
      </w:r>
      <w:r>
        <w:rPr>
          <w:color w:val="000000"/>
          <w:sz w:val="2"/>
          <w:szCs w:val="2"/>
        </w:rPr>
        <w:t xml:space="preserve"/>
      </w:r>
    </w:p>
    <w:p>
      <w:pPr>
        <w:pStyle w:val="1"/>
        <w:keepNext w:val="1"/>
        <w:numPr>
          <w:ilvl w:val="0"/>
          <w:numId w:val="0"/>
        </w:numPr>
        <w:wordWrap/>
        <w:spacing w:before="120" w:after="120"/>
        <w:ind w:left="200" w:hanging="200" w:firstLine="0" w:firstLineChars="0"/>
        <w:widowControl w:val="1"/>
        <w:suppressAutoHyphens w:val="1"/>
        <w:jc w:val="center"/>
      </w:pPr>
      <w:bookmarkStart w:id="538" w:name="ReportHeading538"/>
      <w:r>
        <w:rPr>
          <w:color w:val="000000"/>
        </w:rPr>
        <w:t xml:space="preserve">附录</w:t>
      </w:r>
      <w:bookmarkEnd w:id="538"/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  <w:numPr>
          <w:numId w:val="0"/>
        </w:numPr>
      </w:pPr>
      <w:r>
        <w:rPr>
          <w:color w:val="000000"/>
        </w:rPr>
        <w:t xml:space="preserve">附录A 系统提示词与调用示例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以下摘录用于说明主智能体的角色、调用方式与输出约束，详细物品和预算规则由工作流代码执行。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你是国服PC端三角洲行动烽火地带配装助手。聊天需求收集地图、难度、整套预算与特殊物品授权，缺项才追问；金额、物品、改枪码、可行性和报告链接仅引用本轮工具结果。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使用request_json字符串传参。allow_damaged默认true；allow_flower_bag、allow_penalty_helmet、allow_assault_used_armor默认false，只有用户明确要求对应例外才传true。传原始预算，由工作流按行动上限封顶；不要主观判断预算低而跳过调用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聊天调用受理后等待异步结果，不重复调用或猜测。引用本轮完整report_url，保留#r=后全部内容；报价按实际来源时间或快照回退说明，不声称游戏内秒级实时。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绝密猛攻保留五级弹，鼠鼠允许四级弹。医疗、防护成色和维修按既定规则及预算选择；预算不足时说明缺口并建议提高预算，不降低猛攻弹级。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V20页面直接提交表单并调用工作流。用户询问使用方法时优先介绍表单与更多选项；不得因为页面提交而在聊天中重复调用。最近五份战报仅保存在当前浏览器，不声称跨设备同步。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工作流开始节点的request_json为String类型，其字符串内容示例如下。主智能体负责将自然语言整理为同样的字段结构。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{"map":"航天基地","difficulty":"绝密",</w:t>
        <w:br/>
        <w:t xml:space="preserve"> "budget":1200000,"allow_rare":true,"allow_damaged":true}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  <w:numPr>
          <w:numId w:val="0"/>
        </w:numPr>
      </w:pPr>
      <w:r>
        <w:rPr>
          <w:color w:val="000000"/>
        </w:rPr>
        <w:t xml:space="preserve">附录B 独立技能版运行入口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获取GitHub仓库后，确认.agents/skills/delta-loadout目录完整，在仓库根目录运行以下命令。第一条命令在此处换行展示，实际执行需合并为一行。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node .agents/skills/delta-loadout/scripts/loadout.mjs generate</w:t>
        <w:br/>
        <w:t xml:space="preserve">  --request examples/request.json --out outputs/demo</w:t>
        <w:br/>
        <w:t xml:space="preserve">node --test tests/*.test.mjs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离线核算时，在生成命令末尾添加--prices snapshot。outputs/demo目录包含完整报告report.html、结构化结果result.json和报价记录prices.json。[6]</w:t>
      </w:r>
    </w:p>
    <w:p>
      <w:pPr>
        <w:pStyle w:val="2"/>
        <w:keepNext w:val="1"/>
        <w:spacing w:before="120" w:after="120"/>
        <w:widowControl w:val="1"/>
        <w:suppressAutoHyphens w:val="1"/>
        <w:ind w:firstLine="0" w:firstLineChars="0"/>
        <w:numPr>
          <w:numId w:val="0"/>
        </w:numPr>
      </w:pPr>
      <w:r>
        <w:rPr>
          <w:color w:val="000000"/>
        </w:rPr>
        <w:t xml:space="preserve">附录C 交互页面访问与课堂演示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正式页面地址如下。进入页面后选择地图、难度并输入预算，无需先向主智能体发送消息。</w:t>
      </w:r>
    </w:p>
    <w:p>
      <w:pPr>
        <w:spacing w:before="60" w:after="60" w:line="280" w:lineRule="auto"/>
        <w:ind w:firstLine="0" w:firstLineChars="0"/>
        <w:widowControl w:val="1"/>
        <w:suppressAutoHyphens w:val="1"/>
        <w:pStyle w:val="a4"/>
        <w:numPr>
          <w:numId w:val="0"/>
        </w:numPr>
        <w:jc w:val="left"/>
      </w:pPr>
      <w:r>
        <w:rPr>
          <w:color w:val="000000"/>
          <w:sz w:val="21"/>
          <w:szCs w:val="21"/>
        </w:rPr>
        <w:t xml:space="preserve">https://agent.nuwax.com/page/2022659972861952-33302369/prod/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演示可选择航天基地、绝密、120万，允许特殊物品并接受破损防具。展示表单提交、五级弹猛攻、四级弹鼠鼠及历史回看；使用已有100万战报说明预算不足，数值按实际画面解说。</w:t>
      </w:r>
    </w:p>
    <w:p>
      <w:pPr>
        <w:spacing w:before="60" w:after="60"/>
        <w:ind w:firstLine="480"/>
        <w:widowControl w:val="1"/>
        <w:suppressAutoHyphens w:val="1"/>
        <w:pStyle w:val="a4"/>
      </w:pPr>
      <w:r>
        <w:rPr>
          <w:color w:val="000000"/>
        </w:rPr>
        <w:t xml:space="preserve">配套视频文案以课程作业开场，按约1分50秒安排。较长等待可剪辑并标注“等待过程已剪辑”，不以历史结果冒充当次请求。</w:t>
      </w:r>
    </w:p>
    <w:sectPr>
      <w:headerReference w:type="default" r:id="rId24"/>
      <w:footerReference w:type="default" r:id="rId19"/>
      <w:pgSz w:w="11906" w:h="16838"/>
      <w:pgMar w:top="1418" w:right="1418" w:bottom="1418" w:left="1418" w:header="851" w:footer="992" w:gutter="0"/>
      <w:cols w:space="425"/>
      <w:docGrid w:linePitch="326"/>
      <w:type w:val="nextPag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B549" w14:textId="77777777" w:rsidR="00D620A8" w:rsidRDefault="00D620A8">
      <w:pPr>
        <w:spacing w:before="60" w:after="60"/>
        <w:ind w:firstLine="480"/>
      </w:pPr>
      <w:r>
        <w:separator/>
      </w:r>
    </w:p>
    <w:p w14:paraId="5FFB6E5C" w14:textId="77777777" w:rsidR="00D620A8" w:rsidRDefault="00D620A8">
      <w:pPr>
        <w:ind w:firstLine="480"/>
      </w:pPr>
    </w:p>
    <w:p w14:paraId="4BC5AC24" w14:textId="77777777" w:rsidR="00D620A8" w:rsidRDefault="00D620A8" w:rsidP="00845D48">
      <w:pPr>
        <w:ind w:firstLine="480"/>
      </w:pPr>
    </w:p>
  </w:endnote>
  <w:endnote w:type="continuationSeparator" w:id="0">
    <w:p w14:paraId="6B6D95ED" w14:textId="77777777" w:rsidR="00D620A8" w:rsidRDefault="00D620A8">
      <w:pPr>
        <w:spacing w:before="60" w:after="60"/>
        <w:ind w:firstLine="480"/>
      </w:pPr>
      <w:r>
        <w:continuationSeparator/>
      </w:r>
    </w:p>
    <w:p w14:paraId="661D8514" w14:textId="77777777" w:rsidR="00D620A8" w:rsidRDefault="00D620A8">
      <w:pPr>
        <w:ind w:firstLine="480"/>
      </w:pPr>
    </w:p>
    <w:p w14:paraId="15874455" w14:textId="77777777" w:rsidR="00D620A8" w:rsidRDefault="00D620A8" w:rsidP="00845D48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D056" w14:textId="77777777" w:rsidR="00141F5F" w:rsidRDefault="00141F5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F464" w14:textId="0F8003B2" w:rsidR="00435184" w:rsidRDefault="00435184" w:rsidP="000D7E06">
    <w:pPr>
      <w:pStyle w:val="ae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6876" w14:textId="77777777" w:rsidR="00141F5F" w:rsidRDefault="00141F5F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5532553"/>
      <w:docPartObj>
        <w:docPartGallery w:val="Page Numbers (Bottom of Page)"/>
        <w:docPartUnique/>
      </w:docPartObj>
    </w:sdtPr>
    <w:sdtContent>
      <w:p w14:paraId="7D169F3F" w14:textId="77777777" w:rsidR="00141F5F" w:rsidRDefault="00141F5F" w:rsidP="000D7E06">
        <w:pPr>
          <w:pStyle w:val="ae"/>
          <w:spacing w:after="12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EA2C0" w14:textId="77777777" w:rsidR="00D620A8" w:rsidRDefault="00D620A8">
      <w:pPr>
        <w:spacing w:before="60" w:after="60"/>
        <w:ind w:firstLine="480"/>
      </w:pPr>
      <w:r>
        <w:separator/>
      </w:r>
    </w:p>
    <w:p w14:paraId="097653D4" w14:textId="77777777" w:rsidR="00D620A8" w:rsidRDefault="00D620A8">
      <w:pPr>
        <w:ind w:firstLine="480"/>
      </w:pPr>
    </w:p>
    <w:p w14:paraId="1B7AA8B6" w14:textId="77777777" w:rsidR="00D620A8" w:rsidRDefault="00D620A8" w:rsidP="00845D48">
      <w:pPr>
        <w:ind w:firstLine="480"/>
      </w:pPr>
    </w:p>
  </w:footnote>
  <w:footnote w:type="continuationSeparator" w:id="0">
    <w:p w14:paraId="6524C9AD" w14:textId="77777777" w:rsidR="00D620A8" w:rsidRDefault="00D620A8">
      <w:pPr>
        <w:spacing w:before="60" w:after="60"/>
        <w:ind w:firstLine="480"/>
      </w:pPr>
      <w:r>
        <w:continuationSeparator/>
      </w:r>
    </w:p>
    <w:p w14:paraId="4F59DD25" w14:textId="77777777" w:rsidR="00D620A8" w:rsidRDefault="00D620A8">
      <w:pPr>
        <w:ind w:firstLine="480"/>
      </w:pPr>
    </w:p>
    <w:p w14:paraId="4585B27A" w14:textId="77777777" w:rsidR="00D620A8" w:rsidRDefault="00D620A8" w:rsidP="00845D48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39A8" w14:textId="77777777" w:rsidR="00141F5F" w:rsidRDefault="00141F5F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1F37" w14:textId="77777777" w:rsidR="00141F5F" w:rsidRDefault="00141F5F" w:rsidP="00141F5F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F94" w14:textId="77777777" w:rsidR="00141F5F" w:rsidRDefault="00141F5F">
    <w:pPr>
      <w:pStyle w:val="af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CE47" w14:textId="77777777" w:rsidR="00BD5DB4" w:rsidRDefault="00BD5DB4" w:rsidP="00C975CC">
    <w:pPr>
      <w:spacing w:before="60" w:after="60"/>
      <w:ind w:firstLine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4797" w14:textId="77777777" w:rsidR="00BD5DB4" w:rsidRDefault="00BD5DB4" w:rsidP="00170FCB">
    <w:pPr>
      <w:pStyle w:val="af0"/>
      <w:pBdr>
        <w:bottom w:val="none" w:sz="0" w:space="0" w:color="auto"/>
      </w:pBdr>
      <w:spacing w:before="60" w:after="60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40283" w14:textId="10BB4923" w:rsidR="00A0756B" w:rsidRDefault="00A0756B" w:rsidP="00A0756B">
    <w:pPr>
      <w:ind w:firstLine="480"/>
    </w:pPr>
  </w:p>
  <w:p w14:paraId="6F2C46BE" w14:textId="77777777" w:rsidR="00BD5DB4" w:rsidRDefault="00BD5DB4" w:rsidP="00C975CC">
    <w:pPr>
      <w:spacing w:before="60" w:after="60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524A2909"/>
    <w:multiLevelType w:val="multilevel"/>
    <w:tmpl w:val="32EA8F1C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1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2" w15:restartNumberingAfterBreak="0">
    <w:nsid w:val="599B5506"/>
    <w:multiLevelType w:val="multilevel"/>
    <w:tmpl w:val="599B5506"/>
    <w:lvl w:ilvl="0">
      <w:start w:val="1"/>
      <w:numFmt w:val="bullet"/>
      <w:pStyle w:val="a2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FD87C1A"/>
    <w:multiLevelType w:val="multilevel"/>
    <w:tmpl w:val="6FD87C1A"/>
    <w:lvl w:ilvl="0">
      <w:start w:val="1"/>
      <w:numFmt w:val="decimal"/>
      <w:pStyle w:val="a3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1578319322">
    <w:abstractNumId w:val="1"/>
  </w:num>
  <w:num w:numId="2" w16cid:durableId="925764449">
    <w:abstractNumId w:val="2"/>
  </w:num>
  <w:num w:numId="3" w16cid:durableId="104228494">
    <w:abstractNumId w:val="4"/>
  </w:num>
  <w:num w:numId="4" w16cid:durableId="392698895">
    <w:abstractNumId w:val="0"/>
  </w:num>
  <w:num w:numId="5" w16cid:durableId="749237099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6" w16cid:durableId="1201240596">
    <w:abstractNumId w:val="4"/>
    <w:lvlOverride w:ilvl="0">
      <w:startOverride w:val="1"/>
    </w:lvlOverride>
  </w:num>
  <w:num w:numId="7" w16cid:durableId="1241060866">
    <w:abstractNumId w:val="4"/>
    <w:lvlOverride w:ilvl="0">
      <w:startOverride w:val="1"/>
    </w:lvlOverride>
  </w:num>
  <w:num w:numId="8" w16cid:durableId="278071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9212318">
    <w:abstractNumId w:val="4"/>
    <w:lvlOverride w:ilvl="0">
      <w:startOverride w:val="1"/>
    </w:lvlOverride>
  </w:num>
  <w:num w:numId="10" w16cid:durableId="1418213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0335931">
    <w:abstractNumId w:val="1"/>
    <w:lvlOverride w:ilvl="0">
      <w:lvl w:ilvl="0">
        <w:start w:val="1"/>
        <w:numFmt w:val="chineseCountingThousand"/>
        <w:pStyle w:val="1"/>
        <w:suff w:val="space"/>
        <w:lvlText w:val="%1、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8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isLgl/>
        <w:suff w:val="nothing"/>
        <w:lvlText w:val="%1.%2.%3 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4"/>
        </w:rPr>
      </w:lvl>
    </w:lvlOverride>
    <w:lvlOverride w:ilvl="3">
      <w:lvl w:ilvl="3">
        <w:start w:val="1"/>
        <w:numFmt w:val="decimal"/>
        <w:pStyle w:val="4"/>
        <w:suff w:val="nothing"/>
        <w:lvlText w:val="%1.%2.%3.%4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4">
      <w:lvl w:ilvl="4">
        <w:start w:val="1"/>
        <w:numFmt w:val="decimal"/>
        <w:pStyle w:val="5"/>
        <w:suff w:val="nothing"/>
        <w:lvlText w:val="%1.%2.%3.%4.%5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5">
      <w:lvl w:ilvl="5">
        <w:start w:val="1"/>
        <w:numFmt w:val="decimal"/>
        <w:pStyle w:val="6"/>
        <w:suff w:val="nothing"/>
        <w:lvlText w:val="(%6)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6">
      <w:lvl w:ilvl="6">
        <w:start w:val="1"/>
        <w:numFmt w:val="decimal"/>
        <w:pStyle w:val="7"/>
        <w:suff w:val="space"/>
        <w:lvlText w:val="%7)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7">
      <w:lvl w:ilvl="7">
        <w:start w:val="1"/>
        <w:numFmt w:val="decimal"/>
        <w:lvlRestart w:val="0"/>
        <w:pStyle w:val="a0"/>
        <w:suff w:val="nothing"/>
        <w:lvlText w:val="表%8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  <w:lvlOverride w:ilvl="8">
      <w:lvl w:ilvl="8">
        <w:start w:val="1"/>
        <w:numFmt w:val="decimal"/>
        <w:lvlRestart w:val="0"/>
        <w:pStyle w:val="a1"/>
        <w:suff w:val="nothing"/>
        <w:lvlText w:val="图%9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proofState w:spelling="clean" w:grammar="clean"/>
  <w:attachedTemplate r:id="rId1"/>
  <w:styleLockTheme/>
  <w:styleLockQFSet/>
  <w:defaultTabStop w:val="360"/>
  <w:autoHyphenation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xMDUxNDgwNTlhYTgwN2ZjOTJlNmRiNzU5NDlkYjYifQ=="/>
  </w:docVars>
  <w:rsids>
    <w:rsidRoot w:val="0022434A"/>
    <w:rsid w:val="00000224"/>
    <w:rsid w:val="000005F3"/>
    <w:rsid w:val="00002FA8"/>
    <w:rsid w:val="00003504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8A5"/>
    <w:rsid w:val="00055A69"/>
    <w:rsid w:val="000563FD"/>
    <w:rsid w:val="000564EE"/>
    <w:rsid w:val="00056DC8"/>
    <w:rsid w:val="000600BD"/>
    <w:rsid w:val="00060913"/>
    <w:rsid w:val="0006163F"/>
    <w:rsid w:val="0006222F"/>
    <w:rsid w:val="00063A7B"/>
    <w:rsid w:val="00064831"/>
    <w:rsid w:val="00064E16"/>
    <w:rsid w:val="0006501C"/>
    <w:rsid w:val="00065DC7"/>
    <w:rsid w:val="00065EEA"/>
    <w:rsid w:val="00070BCD"/>
    <w:rsid w:val="000726B2"/>
    <w:rsid w:val="00072953"/>
    <w:rsid w:val="00072BCE"/>
    <w:rsid w:val="0007498B"/>
    <w:rsid w:val="0007498F"/>
    <w:rsid w:val="0007565F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B0F02"/>
    <w:rsid w:val="000B3E50"/>
    <w:rsid w:val="000B44DE"/>
    <w:rsid w:val="000B65AD"/>
    <w:rsid w:val="000C38BB"/>
    <w:rsid w:val="000C4CA0"/>
    <w:rsid w:val="000C5D65"/>
    <w:rsid w:val="000C5F1A"/>
    <w:rsid w:val="000C7DAD"/>
    <w:rsid w:val="000D1175"/>
    <w:rsid w:val="000D17DD"/>
    <w:rsid w:val="000D2464"/>
    <w:rsid w:val="000D27ED"/>
    <w:rsid w:val="000D38FF"/>
    <w:rsid w:val="000D7E06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3D5"/>
    <w:rsid w:val="001069BA"/>
    <w:rsid w:val="00107B50"/>
    <w:rsid w:val="00110607"/>
    <w:rsid w:val="00111E86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5112"/>
    <w:rsid w:val="001366CE"/>
    <w:rsid w:val="0013693A"/>
    <w:rsid w:val="00136E0E"/>
    <w:rsid w:val="00140383"/>
    <w:rsid w:val="00141F5F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603"/>
    <w:rsid w:val="00161F7A"/>
    <w:rsid w:val="0016200A"/>
    <w:rsid w:val="001622F7"/>
    <w:rsid w:val="00162ADD"/>
    <w:rsid w:val="00163350"/>
    <w:rsid w:val="00163B9E"/>
    <w:rsid w:val="00165E02"/>
    <w:rsid w:val="00170FCB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A0456"/>
    <w:rsid w:val="001A0C17"/>
    <w:rsid w:val="001A2367"/>
    <w:rsid w:val="001A2B8C"/>
    <w:rsid w:val="001A2BB7"/>
    <w:rsid w:val="001A34A2"/>
    <w:rsid w:val="001A36E3"/>
    <w:rsid w:val="001A37A1"/>
    <w:rsid w:val="001A4C24"/>
    <w:rsid w:val="001A5E62"/>
    <w:rsid w:val="001A661A"/>
    <w:rsid w:val="001B053B"/>
    <w:rsid w:val="001B3ED9"/>
    <w:rsid w:val="001B5049"/>
    <w:rsid w:val="001B6AE8"/>
    <w:rsid w:val="001B7391"/>
    <w:rsid w:val="001C065E"/>
    <w:rsid w:val="001C117E"/>
    <w:rsid w:val="001C2ED9"/>
    <w:rsid w:val="001C536B"/>
    <w:rsid w:val="001C5857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66E9"/>
    <w:rsid w:val="001D793B"/>
    <w:rsid w:val="001D7E51"/>
    <w:rsid w:val="001E03F1"/>
    <w:rsid w:val="001E24C1"/>
    <w:rsid w:val="001E2AA3"/>
    <w:rsid w:val="001E2FE8"/>
    <w:rsid w:val="001E3F52"/>
    <w:rsid w:val="001E5102"/>
    <w:rsid w:val="001E63E2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0B6D"/>
    <w:rsid w:val="0020129E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C9C"/>
    <w:rsid w:val="00237DC7"/>
    <w:rsid w:val="00241E0E"/>
    <w:rsid w:val="00244B8C"/>
    <w:rsid w:val="00246474"/>
    <w:rsid w:val="00247834"/>
    <w:rsid w:val="00247E11"/>
    <w:rsid w:val="00250AC0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4940"/>
    <w:rsid w:val="002656C4"/>
    <w:rsid w:val="00266CDE"/>
    <w:rsid w:val="00266FF5"/>
    <w:rsid w:val="00267D4D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7882"/>
    <w:rsid w:val="002D7CC5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577F"/>
    <w:rsid w:val="0030636F"/>
    <w:rsid w:val="00307852"/>
    <w:rsid w:val="0031136C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1C68"/>
    <w:rsid w:val="00342207"/>
    <w:rsid w:val="00342AB4"/>
    <w:rsid w:val="00344E01"/>
    <w:rsid w:val="00344FE9"/>
    <w:rsid w:val="00346806"/>
    <w:rsid w:val="003506D0"/>
    <w:rsid w:val="003507E0"/>
    <w:rsid w:val="00351608"/>
    <w:rsid w:val="003529A7"/>
    <w:rsid w:val="00354EB5"/>
    <w:rsid w:val="00354F13"/>
    <w:rsid w:val="0035601A"/>
    <w:rsid w:val="00357385"/>
    <w:rsid w:val="003579FD"/>
    <w:rsid w:val="00360326"/>
    <w:rsid w:val="00360F6E"/>
    <w:rsid w:val="003642F7"/>
    <w:rsid w:val="00366447"/>
    <w:rsid w:val="00371405"/>
    <w:rsid w:val="00371A91"/>
    <w:rsid w:val="00371BFC"/>
    <w:rsid w:val="003745C4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E0481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35184"/>
    <w:rsid w:val="00436E49"/>
    <w:rsid w:val="004409A2"/>
    <w:rsid w:val="0044159B"/>
    <w:rsid w:val="00443616"/>
    <w:rsid w:val="0044402C"/>
    <w:rsid w:val="004446A1"/>
    <w:rsid w:val="00444CF7"/>
    <w:rsid w:val="00445A33"/>
    <w:rsid w:val="00447322"/>
    <w:rsid w:val="00447BA4"/>
    <w:rsid w:val="004523E6"/>
    <w:rsid w:val="00454A39"/>
    <w:rsid w:val="00456ADB"/>
    <w:rsid w:val="0046149D"/>
    <w:rsid w:val="004619E7"/>
    <w:rsid w:val="00462989"/>
    <w:rsid w:val="00463745"/>
    <w:rsid w:val="00463EE6"/>
    <w:rsid w:val="004668D5"/>
    <w:rsid w:val="0046691F"/>
    <w:rsid w:val="00466D6E"/>
    <w:rsid w:val="00467298"/>
    <w:rsid w:val="00470F6B"/>
    <w:rsid w:val="00472B5C"/>
    <w:rsid w:val="00472CBB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7C7B"/>
    <w:rsid w:val="004A0762"/>
    <w:rsid w:val="004A2FC3"/>
    <w:rsid w:val="004A42C9"/>
    <w:rsid w:val="004A42E4"/>
    <w:rsid w:val="004A51C0"/>
    <w:rsid w:val="004A54D1"/>
    <w:rsid w:val="004A5EFA"/>
    <w:rsid w:val="004A6536"/>
    <w:rsid w:val="004A7B79"/>
    <w:rsid w:val="004B020A"/>
    <w:rsid w:val="004B0BC3"/>
    <w:rsid w:val="004B22ED"/>
    <w:rsid w:val="004B33CF"/>
    <w:rsid w:val="004B4126"/>
    <w:rsid w:val="004B6190"/>
    <w:rsid w:val="004B61D6"/>
    <w:rsid w:val="004B6595"/>
    <w:rsid w:val="004B6B11"/>
    <w:rsid w:val="004C040F"/>
    <w:rsid w:val="004C0F71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E7868"/>
    <w:rsid w:val="004F005C"/>
    <w:rsid w:val="004F41D8"/>
    <w:rsid w:val="004F4496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A75B9"/>
    <w:rsid w:val="005B127A"/>
    <w:rsid w:val="005B1A0A"/>
    <w:rsid w:val="005B1BE7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4791"/>
    <w:rsid w:val="005C59DB"/>
    <w:rsid w:val="005C737E"/>
    <w:rsid w:val="005C7FE6"/>
    <w:rsid w:val="005D0B59"/>
    <w:rsid w:val="005D0B85"/>
    <w:rsid w:val="005D1C47"/>
    <w:rsid w:val="005D24DA"/>
    <w:rsid w:val="005D2A8A"/>
    <w:rsid w:val="005D4AFA"/>
    <w:rsid w:val="005D5D6A"/>
    <w:rsid w:val="005D6C7E"/>
    <w:rsid w:val="005D78EA"/>
    <w:rsid w:val="005E0E84"/>
    <w:rsid w:val="005E22A3"/>
    <w:rsid w:val="005E2CD7"/>
    <w:rsid w:val="005E527F"/>
    <w:rsid w:val="005E6D38"/>
    <w:rsid w:val="005F1F3E"/>
    <w:rsid w:val="005F1FAC"/>
    <w:rsid w:val="005F5591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44D1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1858"/>
    <w:rsid w:val="0068267C"/>
    <w:rsid w:val="0068351C"/>
    <w:rsid w:val="0068436B"/>
    <w:rsid w:val="00692C0E"/>
    <w:rsid w:val="006939B9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47CA"/>
    <w:rsid w:val="006B4A1F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3835"/>
    <w:rsid w:val="006E5848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4C5B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4B52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4828"/>
    <w:rsid w:val="00774D9D"/>
    <w:rsid w:val="007767F6"/>
    <w:rsid w:val="00777D1A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3265"/>
    <w:rsid w:val="007B5C42"/>
    <w:rsid w:val="007B6449"/>
    <w:rsid w:val="007B6C16"/>
    <w:rsid w:val="007C6DB4"/>
    <w:rsid w:val="007D40E9"/>
    <w:rsid w:val="007D7300"/>
    <w:rsid w:val="007E35BC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963"/>
    <w:rsid w:val="00810013"/>
    <w:rsid w:val="00810492"/>
    <w:rsid w:val="008105E1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FCC"/>
    <w:rsid w:val="0084117D"/>
    <w:rsid w:val="0084452F"/>
    <w:rsid w:val="00845282"/>
    <w:rsid w:val="0084583F"/>
    <w:rsid w:val="00845D48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AA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870"/>
    <w:rsid w:val="008A69EB"/>
    <w:rsid w:val="008A71D7"/>
    <w:rsid w:val="008A77B4"/>
    <w:rsid w:val="008A7831"/>
    <w:rsid w:val="008B1460"/>
    <w:rsid w:val="008B1F5F"/>
    <w:rsid w:val="008B251C"/>
    <w:rsid w:val="008B25E1"/>
    <w:rsid w:val="008B2CE0"/>
    <w:rsid w:val="008B3CAE"/>
    <w:rsid w:val="008B5B1F"/>
    <w:rsid w:val="008B6114"/>
    <w:rsid w:val="008C0572"/>
    <w:rsid w:val="008C0972"/>
    <w:rsid w:val="008C14ED"/>
    <w:rsid w:val="008C4BCD"/>
    <w:rsid w:val="008C5A69"/>
    <w:rsid w:val="008C5AB5"/>
    <w:rsid w:val="008C6513"/>
    <w:rsid w:val="008D0AE5"/>
    <w:rsid w:val="008D1F6E"/>
    <w:rsid w:val="008D2C74"/>
    <w:rsid w:val="008D37A5"/>
    <w:rsid w:val="008D445F"/>
    <w:rsid w:val="008D4890"/>
    <w:rsid w:val="008D4935"/>
    <w:rsid w:val="008D6B6C"/>
    <w:rsid w:val="008D79D0"/>
    <w:rsid w:val="008E0CF2"/>
    <w:rsid w:val="008E6619"/>
    <w:rsid w:val="008E7B7E"/>
    <w:rsid w:val="008F1069"/>
    <w:rsid w:val="008F21DD"/>
    <w:rsid w:val="008F39B9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822"/>
    <w:rsid w:val="00931E72"/>
    <w:rsid w:val="009321F7"/>
    <w:rsid w:val="0093223E"/>
    <w:rsid w:val="009341B5"/>
    <w:rsid w:val="00936083"/>
    <w:rsid w:val="00936900"/>
    <w:rsid w:val="00936ACC"/>
    <w:rsid w:val="00937449"/>
    <w:rsid w:val="009374E7"/>
    <w:rsid w:val="0093786C"/>
    <w:rsid w:val="0094072F"/>
    <w:rsid w:val="0094136C"/>
    <w:rsid w:val="00942732"/>
    <w:rsid w:val="00943827"/>
    <w:rsid w:val="00943ACB"/>
    <w:rsid w:val="009448F6"/>
    <w:rsid w:val="00946B6B"/>
    <w:rsid w:val="0094772A"/>
    <w:rsid w:val="009536D4"/>
    <w:rsid w:val="00955003"/>
    <w:rsid w:val="00956CD2"/>
    <w:rsid w:val="00956EE2"/>
    <w:rsid w:val="009606BB"/>
    <w:rsid w:val="00962649"/>
    <w:rsid w:val="00962F10"/>
    <w:rsid w:val="00964C22"/>
    <w:rsid w:val="00970591"/>
    <w:rsid w:val="009716BE"/>
    <w:rsid w:val="00971B57"/>
    <w:rsid w:val="00972818"/>
    <w:rsid w:val="009732EF"/>
    <w:rsid w:val="009737FF"/>
    <w:rsid w:val="00975D78"/>
    <w:rsid w:val="0097661A"/>
    <w:rsid w:val="00977E8B"/>
    <w:rsid w:val="00981152"/>
    <w:rsid w:val="009838B1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42E2"/>
    <w:rsid w:val="0099472B"/>
    <w:rsid w:val="0099497C"/>
    <w:rsid w:val="0099629B"/>
    <w:rsid w:val="00996571"/>
    <w:rsid w:val="0099676F"/>
    <w:rsid w:val="0099681D"/>
    <w:rsid w:val="009A15DF"/>
    <w:rsid w:val="009A3CA5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5960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2C83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905C8"/>
    <w:rsid w:val="00A918FA"/>
    <w:rsid w:val="00A926B4"/>
    <w:rsid w:val="00A93897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5923"/>
    <w:rsid w:val="00AD629B"/>
    <w:rsid w:val="00AD6FEF"/>
    <w:rsid w:val="00AE246F"/>
    <w:rsid w:val="00AE36AA"/>
    <w:rsid w:val="00AE46EE"/>
    <w:rsid w:val="00AE5043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D1E"/>
    <w:rsid w:val="00B11D8B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E6D"/>
    <w:rsid w:val="00B32891"/>
    <w:rsid w:val="00B3427D"/>
    <w:rsid w:val="00B35B47"/>
    <w:rsid w:val="00B3770B"/>
    <w:rsid w:val="00B37D4F"/>
    <w:rsid w:val="00B37EB2"/>
    <w:rsid w:val="00B40922"/>
    <w:rsid w:val="00B40AD8"/>
    <w:rsid w:val="00B40FED"/>
    <w:rsid w:val="00B41974"/>
    <w:rsid w:val="00B42AD5"/>
    <w:rsid w:val="00B442F8"/>
    <w:rsid w:val="00B4472C"/>
    <w:rsid w:val="00B4572F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6141"/>
    <w:rsid w:val="00B80604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5FEF"/>
    <w:rsid w:val="00B972A5"/>
    <w:rsid w:val="00BA0DDF"/>
    <w:rsid w:val="00BA1EE7"/>
    <w:rsid w:val="00BA2700"/>
    <w:rsid w:val="00BA4E19"/>
    <w:rsid w:val="00BA5D2E"/>
    <w:rsid w:val="00BA6C2E"/>
    <w:rsid w:val="00BA7F24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F4A"/>
    <w:rsid w:val="00BD2EC7"/>
    <w:rsid w:val="00BD43BD"/>
    <w:rsid w:val="00BD458E"/>
    <w:rsid w:val="00BD48D7"/>
    <w:rsid w:val="00BD52B2"/>
    <w:rsid w:val="00BD5DB4"/>
    <w:rsid w:val="00BD60D2"/>
    <w:rsid w:val="00BD63E8"/>
    <w:rsid w:val="00BD6C1F"/>
    <w:rsid w:val="00BD6C4D"/>
    <w:rsid w:val="00BD7037"/>
    <w:rsid w:val="00BD71F5"/>
    <w:rsid w:val="00BE06C2"/>
    <w:rsid w:val="00BE2A7C"/>
    <w:rsid w:val="00BE3E28"/>
    <w:rsid w:val="00BF1781"/>
    <w:rsid w:val="00BF2C88"/>
    <w:rsid w:val="00BF4743"/>
    <w:rsid w:val="00BF561C"/>
    <w:rsid w:val="00BF5CDD"/>
    <w:rsid w:val="00BF62F5"/>
    <w:rsid w:val="00C0002F"/>
    <w:rsid w:val="00C003AA"/>
    <w:rsid w:val="00C00492"/>
    <w:rsid w:val="00C032D3"/>
    <w:rsid w:val="00C03A86"/>
    <w:rsid w:val="00C04468"/>
    <w:rsid w:val="00C05D63"/>
    <w:rsid w:val="00C075B9"/>
    <w:rsid w:val="00C0766A"/>
    <w:rsid w:val="00C0781C"/>
    <w:rsid w:val="00C10736"/>
    <w:rsid w:val="00C11031"/>
    <w:rsid w:val="00C146C3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711C"/>
    <w:rsid w:val="00C7735A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5CC"/>
    <w:rsid w:val="00C975D0"/>
    <w:rsid w:val="00CA094B"/>
    <w:rsid w:val="00CA0BB6"/>
    <w:rsid w:val="00CA1846"/>
    <w:rsid w:val="00CA2048"/>
    <w:rsid w:val="00CA2915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70C"/>
    <w:rsid w:val="00CD7828"/>
    <w:rsid w:val="00CE14A4"/>
    <w:rsid w:val="00CE2445"/>
    <w:rsid w:val="00CE3940"/>
    <w:rsid w:val="00CE3ED0"/>
    <w:rsid w:val="00CE5065"/>
    <w:rsid w:val="00CE6EA5"/>
    <w:rsid w:val="00CE7AC8"/>
    <w:rsid w:val="00CE7DBD"/>
    <w:rsid w:val="00CF1DE4"/>
    <w:rsid w:val="00CF38EB"/>
    <w:rsid w:val="00CF4A38"/>
    <w:rsid w:val="00CF5315"/>
    <w:rsid w:val="00CF57FC"/>
    <w:rsid w:val="00CF6AEA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94B"/>
    <w:rsid w:val="00D36C44"/>
    <w:rsid w:val="00D40FF3"/>
    <w:rsid w:val="00D41747"/>
    <w:rsid w:val="00D422CB"/>
    <w:rsid w:val="00D43B3F"/>
    <w:rsid w:val="00D46170"/>
    <w:rsid w:val="00D46278"/>
    <w:rsid w:val="00D46DA2"/>
    <w:rsid w:val="00D479CE"/>
    <w:rsid w:val="00D509EA"/>
    <w:rsid w:val="00D50F5D"/>
    <w:rsid w:val="00D53B21"/>
    <w:rsid w:val="00D546E0"/>
    <w:rsid w:val="00D54BFC"/>
    <w:rsid w:val="00D55B01"/>
    <w:rsid w:val="00D60E6F"/>
    <w:rsid w:val="00D620A8"/>
    <w:rsid w:val="00D6484A"/>
    <w:rsid w:val="00D67DE2"/>
    <w:rsid w:val="00D71736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1B5F"/>
    <w:rsid w:val="00D92939"/>
    <w:rsid w:val="00D934BC"/>
    <w:rsid w:val="00D93D8B"/>
    <w:rsid w:val="00D945E6"/>
    <w:rsid w:val="00D9666F"/>
    <w:rsid w:val="00D972BC"/>
    <w:rsid w:val="00D97D5C"/>
    <w:rsid w:val="00DA1A83"/>
    <w:rsid w:val="00DA1C63"/>
    <w:rsid w:val="00DA2711"/>
    <w:rsid w:val="00DA2889"/>
    <w:rsid w:val="00DA415C"/>
    <w:rsid w:val="00DA43F9"/>
    <w:rsid w:val="00DA501E"/>
    <w:rsid w:val="00DA6879"/>
    <w:rsid w:val="00DA7142"/>
    <w:rsid w:val="00DA7FD9"/>
    <w:rsid w:val="00DB0473"/>
    <w:rsid w:val="00DB18DF"/>
    <w:rsid w:val="00DB6A42"/>
    <w:rsid w:val="00DB7D97"/>
    <w:rsid w:val="00DC1800"/>
    <w:rsid w:val="00DC34B9"/>
    <w:rsid w:val="00DC3E3C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BE1"/>
    <w:rsid w:val="00DE0F63"/>
    <w:rsid w:val="00DE4DD8"/>
    <w:rsid w:val="00DE5F9C"/>
    <w:rsid w:val="00DF04E3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2595"/>
    <w:rsid w:val="00E228C1"/>
    <w:rsid w:val="00E22D1C"/>
    <w:rsid w:val="00E23FCB"/>
    <w:rsid w:val="00E253DF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242F"/>
    <w:rsid w:val="00E62AE5"/>
    <w:rsid w:val="00E63415"/>
    <w:rsid w:val="00E644D3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31A7"/>
    <w:rsid w:val="00E83689"/>
    <w:rsid w:val="00E83AC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136F4"/>
    <w:rsid w:val="00F1404F"/>
    <w:rsid w:val="00F162E7"/>
    <w:rsid w:val="00F16C75"/>
    <w:rsid w:val="00F16FB4"/>
    <w:rsid w:val="00F17A21"/>
    <w:rsid w:val="00F21B3B"/>
    <w:rsid w:val="00F22163"/>
    <w:rsid w:val="00F22EED"/>
    <w:rsid w:val="00F2473E"/>
    <w:rsid w:val="00F2605A"/>
    <w:rsid w:val="00F2683E"/>
    <w:rsid w:val="00F30AEF"/>
    <w:rsid w:val="00F32E98"/>
    <w:rsid w:val="00F33682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4C8E"/>
    <w:rsid w:val="00F60571"/>
    <w:rsid w:val="00F60D95"/>
    <w:rsid w:val="00F60F49"/>
    <w:rsid w:val="00F65625"/>
    <w:rsid w:val="00F6703C"/>
    <w:rsid w:val="00F67E89"/>
    <w:rsid w:val="00F721ED"/>
    <w:rsid w:val="00F72770"/>
    <w:rsid w:val="00F73283"/>
    <w:rsid w:val="00F744F7"/>
    <w:rsid w:val="00F7452C"/>
    <w:rsid w:val="00F76ECB"/>
    <w:rsid w:val="00F77BDD"/>
    <w:rsid w:val="00F81375"/>
    <w:rsid w:val="00F81BAF"/>
    <w:rsid w:val="00F81E86"/>
    <w:rsid w:val="00F825EC"/>
    <w:rsid w:val="00F82D5E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A134F"/>
    <w:rsid w:val="00FA16D6"/>
    <w:rsid w:val="00FA2A10"/>
    <w:rsid w:val="00FA2CA5"/>
    <w:rsid w:val="00FA35DC"/>
    <w:rsid w:val="00FA3669"/>
    <w:rsid w:val="00FA5EFC"/>
    <w:rsid w:val="00FA74AC"/>
    <w:rsid w:val="00FA7C79"/>
    <w:rsid w:val="00FB05C2"/>
    <w:rsid w:val="00FB1247"/>
    <w:rsid w:val="00FB1DFF"/>
    <w:rsid w:val="00FB273C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283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670B7F9C"/>
  </w:rsids>
  <m:mathPr>
    <m:mathFont m:val="Cambria Math"/>
    <m:brkBin m:val="before"/>
    <m:brkBinSub m:val="--"/>
    <m:smallFrac m:val="0"/>
    <m:dispDef/>
    <m:lMargin m:val="459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0FE4BA"/>
  <w15:docId w15:val="{5DE32C38-D24E-42EC-87F0-4A66ADB4AF4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A1EE7"/>
    <w:pPr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4"/>
    <w:link w:val="10"/>
    <w:qFormat/>
    <w:rsid w:val="001A37A1"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next w:val="a4"/>
    <w:link w:val="20"/>
    <w:unhideWhenUsed/>
    <w:qFormat/>
    <w:rsid w:val="00F22EED"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cstheme="majorBidi"/>
      <w:b/>
      <w:bCs/>
      <w:kern w:val="2"/>
      <w:sz w:val="24"/>
      <w:szCs w:val="32"/>
    </w:rPr>
  </w:style>
  <w:style w:type="paragraph" w:styleId="3">
    <w:name w:val="heading 3"/>
    <w:next w:val="a4"/>
    <w:link w:val="30"/>
    <w:unhideWhenUsed/>
    <w:qFormat/>
    <w:rsid w:val="00F22EED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Cs/>
      <w:kern w:val="2"/>
      <w:sz w:val="24"/>
      <w:szCs w:val="32"/>
    </w:rPr>
  </w:style>
  <w:style w:type="paragraph" w:styleId="4">
    <w:name w:val="heading 4"/>
    <w:next w:val="a4"/>
    <w:link w:val="40"/>
    <w:uiPriority w:val="9"/>
    <w:unhideWhenUsed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4"/>
    <w:link w:val="50"/>
    <w:uiPriority w:val="9"/>
    <w:unhideWhenUsed/>
    <w:pPr>
      <w:keepNext/>
      <w:keepLines/>
      <w:numPr>
        <w:ilvl w:val="4"/>
        <w:numId w:val="1"/>
      </w:numPr>
      <w:spacing w:beforeLines="50" w:before="50" w:afterLines="50" w:after="50"/>
      <w:outlineLvl w:val="4"/>
    </w:pPr>
    <w:rPr>
      <w:b/>
      <w:bCs/>
      <w:kern w:val="2"/>
      <w:sz w:val="24"/>
      <w:szCs w:val="28"/>
    </w:rPr>
  </w:style>
  <w:style w:type="paragraph" w:styleId="6">
    <w:name w:val="heading 6"/>
    <w:basedOn w:val="a4"/>
    <w:next w:val="a4"/>
    <w:link w:val="60"/>
    <w:uiPriority w:val="9"/>
    <w:unhideWhenUsed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4"/>
    <w:next w:val="a4"/>
    <w:link w:val="70"/>
    <w:uiPriority w:val="9"/>
    <w:unhideWhenUsed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TOC7">
    <w:name w:val="toc 7"/>
    <w:basedOn w:val="a4"/>
    <w:next w:val="a4"/>
    <w:uiPriority w:val="39"/>
    <w:unhideWhenUsed/>
    <w:pPr>
      <w:ind w:leftChars="600" w:left="600" w:firstLineChars="0" w:firstLine="0"/>
    </w:pPr>
  </w:style>
  <w:style w:type="paragraph" w:styleId="a8">
    <w:name w:val="caption"/>
    <w:next w:val="a9"/>
    <w:link w:val="aa"/>
    <w:uiPriority w:val="35"/>
    <w:unhideWhenUsed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9">
    <w:name w:val="表格"/>
    <w:link w:val="ab"/>
    <w:qFormat/>
    <w:pPr>
      <w:spacing w:line="360" w:lineRule="exact"/>
    </w:pPr>
    <w:rPr>
      <w:kern w:val="2"/>
      <w:sz w:val="24"/>
      <w:szCs w:val="24"/>
    </w:rPr>
  </w:style>
  <w:style w:type="paragraph" w:styleId="TOC5">
    <w:name w:val="toc 5"/>
    <w:basedOn w:val="a4"/>
    <w:next w:val="a4"/>
    <w:uiPriority w:val="39"/>
    <w:unhideWhenUsed/>
    <w:pPr>
      <w:ind w:leftChars="400" w:left="400" w:firstLineChars="0" w:firstLine="0"/>
    </w:pPr>
  </w:style>
  <w:style w:type="paragraph" w:styleId="TOC3">
    <w:name w:val="toc 3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kern w:val="2"/>
      <w:sz w:val="24"/>
      <w:szCs w:val="24"/>
    </w:rPr>
  </w:style>
  <w:style w:type="paragraph" w:styleId="ac">
    <w:name w:val="Plain Text"/>
    <w:basedOn w:val="a4"/>
    <w:link w:val="ad"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4"/>
    <w:next w:val="a4"/>
    <w:uiPriority w:val="39"/>
    <w:semiHidden/>
    <w:unhideWhenUsed/>
    <w:qFormat/>
    <w:pPr>
      <w:ind w:leftChars="700" w:left="700" w:firstLineChars="0" w:firstLine="0"/>
    </w:pPr>
  </w:style>
  <w:style w:type="paragraph" w:styleId="ae">
    <w:name w:val="footer"/>
    <w:basedOn w:val="a4"/>
    <w:link w:val="af"/>
    <w:uiPriority w:val="99"/>
    <w:unhideWhenUsed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f0">
    <w:name w:val="header"/>
    <w:basedOn w:val="a4"/>
    <w:link w:val="af1"/>
    <w:uiPriority w:val="99"/>
    <w:unhideWhenUsed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4"/>
    <w:uiPriority w:val="39"/>
    <w:unhideWhenUsed/>
    <w:pPr>
      <w:tabs>
        <w:tab w:val="right" w:leader="dot" w:pos="9060"/>
      </w:tabs>
      <w:spacing w:beforeLines="25" w:before="25" w:afterLines="25" w:after="25"/>
      <w:jc w:val="both"/>
    </w:pPr>
    <w:rPr>
      <w:kern w:val="2"/>
      <w:sz w:val="24"/>
      <w:szCs w:val="24"/>
    </w:rPr>
  </w:style>
  <w:style w:type="paragraph" w:styleId="TOC4">
    <w:name w:val="toc 4"/>
    <w:basedOn w:val="a4"/>
    <w:next w:val="a4"/>
    <w:uiPriority w:val="39"/>
    <w:unhideWhenUsed/>
    <w:pPr>
      <w:ind w:leftChars="300" w:left="300" w:firstLineChars="0" w:firstLine="0"/>
    </w:pPr>
  </w:style>
  <w:style w:type="paragraph" w:styleId="af2">
    <w:name w:val="Subtitle"/>
    <w:next w:val="a4"/>
    <w:link w:val="af3"/>
    <w:uiPriority w:val="11"/>
    <w:pPr>
      <w:wordWrap w:val="0"/>
      <w:topLinePunct/>
      <w:spacing w:afterLines="50" w:after="163" w:line="400" w:lineRule="exact"/>
      <w:jc w:val="center"/>
    </w:pPr>
    <w:rPr>
      <w:b/>
      <w:bCs/>
      <w:kern w:val="44"/>
      <w:sz w:val="28"/>
      <w:szCs w:val="44"/>
    </w:rPr>
  </w:style>
  <w:style w:type="paragraph" w:styleId="TOC6">
    <w:name w:val="toc 6"/>
    <w:basedOn w:val="a4"/>
    <w:next w:val="a4"/>
    <w:uiPriority w:val="39"/>
    <w:unhideWhenUsed/>
    <w:pPr>
      <w:ind w:leftChars="500" w:left="500" w:firstLineChars="0" w:firstLine="0"/>
    </w:pPr>
  </w:style>
  <w:style w:type="paragraph" w:styleId="TOC2">
    <w:name w:val="toc 2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kern w:val="2"/>
      <w:sz w:val="24"/>
      <w:szCs w:val="24"/>
    </w:rPr>
  </w:style>
  <w:style w:type="paragraph" w:styleId="TOC9">
    <w:name w:val="toc 9"/>
    <w:basedOn w:val="a4"/>
    <w:next w:val="a4"/>
    <w:uiPriority w:val="39"/>
    <w:semiHidden/>
    <w:unhideWhenUsed/>
    <w:qFormat/>
    <w:pPr>
      <w:ind w:leftChars="800" w:left="800" w:firstLineChars="0" w:firstLine="0"/>
    </w:pPr>
  </w:style>
  <w:style w:type="paragraph" w:styleId="af4">
    <w:name w:val="Normal (Web)"/>
    <w:basedOn w:val="a4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5">
    <w:name w:val="Title"/>
    <w:next w:val="a4"/>
    <w:link w:val="af6"/>
    <w:uiPriority w:val="10"/>
    <w:qFormat/>
    <w:rsid w:val="00303518"/>
    <w:pPr>
      <w:wordWrap w:val="0"/>
      <w:topLinePunct/>
      <w:spacing w:afterLines="50" w:after="50" w:line="400" w:lineRule="exact"/>
      <w:jc w:val="center"/>
      <w:outlineLvl w:val="0"/>
    </w:pPr>
    <w:rPr>
      <w:rFonts w:eastAsia="黑体" w:cstheme="majorBidi"/>
      <w:bCs/>
      <w:kern w:val="2"/>
      <w:sz w:val="32"/>
      <w:szCs w:val="32"/>
    </w:rPr>
  </w:style>
  <w:style w:type="table" w:styleId="af7">
    <w:name w:val="Table Grid"/>
    <w:basedOn w:val="a6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5"/>
    <w:uiPriority w:val="99"/>
    <w:unhideWhenUsed/>
    <w:rPr>
      <w:color w:val="0563C1" w:themeColor="hyperlink"/>
      <w:u w:val="single"/>
    </w:rPr>
  </w:style>
  <w:style w:type="character" w:customStyle="1" w:styleId="af6">
    <w:name w:val="标题 字符"/>
    <w:basedOn w:val="a5"/>
    <w:link w:val="af5"/>
    <w:uiPriority w:val="10"/>
    <w:qFormat/>
    <w:rsid w:val="00303518"/>
    <w:rPr>
      <w:rFonts w:eastAsia="黑体" w:cstheme="majorBidi"/>
      <w:bCs/>
      <w:kern w:val="2"/>
      <w:sz w:val="32"/>
      <w:szCs w:val="32"/>
    </w:rPr>
  </w:style>
  <w:style w:type="character" w:customStyle="1" w:styleId="10">
    <w:name w:val="标题 1 字符"/>
    <w:basedOn w:val="a5"/>
    <w:link w:val="1"/>
    <w:rsid w:val="001A37A1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5"/>
    <w:link w:val="2"/>
    <w:rsid w:val="00F22EED"/>
    <w:rPr>
      <w:rFonts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5"/>
    <w:link w:val="3"/>
    <w:rsid w:val="00F22EED"/>
    <w:rPr>
      <w:bCs/>
      <w:kern w:val="2"/>
      <w:sz w:val="24"/>
      <w:szCs w:val="32"/>
    </w:rPr>
  </w:style>
  <w:style w:type="character" w:customStyle="1" w:styleId="40">
    <w:name w:val="标题 4 字符"/>
    <w:basedOn w:val="a5"/>
    <w:link w:val="4"/>
    <w:uiPriority w:val="9"/>
    <w:qFormat/>
    <w:rPr>
      <w:rFonts w:cstheme="majorBidi"/>
      <w:b/>
      <w:bCs/>
      <w:szCs w:val="28"/>
    </w:rPr>
  </w:style>
  <w:style w:type="character" w:customStyle="1" w:styleId="50">
    <w:name w:val="标题 5 字符"/>
    <w:basedOn w:val="a5"/>
    <w:link w:val="5"/>
    <w:uiPriority w:val="9"/>
    <w:qFormat/>
    <w:rPr>
      <w:b/>
      <w:bCs/>
      <w:szCs w:val="28"/>
    </w:rPr>
  </w:style>
  <w:style w:type="character" w:customStyle="1" w:styleId="af1">
    <w:name w:val="页眉 字符"/>
    <w:basedOn w:val="a5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5"/>
    <w:link w:val="ae"/>
    <w:uiPriority w:val="99"/>
    <w:rPr>
      <w:sz w:val="18"/>
      <w:szCs w:val="18"/>
    </w:rPr>
  </w:style>
  <w:style w:type="paragraph" w:customStyle="1" w:styleId="a2">
    <w:name w:val="无序列表"/>
    <w:link w:val="af9"/>
    <w:pPr>
      <w:numPr>
        <w:numId w:val="2"/>
      </w:numPr>
      <w:spacing w:beforeLines="50" w:before="50" w:afterLines="50" w:after="50"/>
      <w:ind w:left="414" w:hanging="176"/>
      <w:contextualSpacing/>
      <w:jc w:val="both"/>
    </w:pPr>
    <w:rPr>
      <w:kern w:val="2"/>
      <w:sz w:val="24"/>
      <w:szCs w:val="24"/>
    </w:rPr>
  </w:style>
  <w:style w:type="paragraph" w:customStyle="1" w:styleId="TOC10">
    <w:name w:val="TOC 标题1"/>
    <w:next w:val="a4"/>
    <w:uiPriority w:val="39"/>
    <w:unhideWhenUsed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9">
    <w:name w:val="无序列表 字符"/>
    <w:basedOn w:val="a5"/>
    <w:link w:val="a2"/>
    <w:qFormat/>
  </w:style>
  <w:style w:type="character" w:customStyle="1" w:styleId="af3">
    <w:name w:val="副标题 字符"/>
    <w:basedOn w:val="a5"/>
    <w:link w:val="af2"/>
    <w:uiPriority w:val="11"/>
    <w:qFormat/>
    <w:rPr>
      <w:b/>
      <w:bCs/>
      <w:kern w:val="44"/>
      <w:sz w:val="28"/>
      <w:szCs w:val="44"/>
    </w:rPr>
  </w:style>
  <w:style w:type="paragraph" w:customStyle="1" w:styleId="a3">
    <w:name w:val="有序列表"/>
    <w:link w:val="afa"/>
    <w:pPr>
      <w:numPr>
        <w:numId w:val="3"/>
      </w:numPr>
      <w:spacing w:beforeLines="50" w:before="120" w:afterLines="50" w:after="120"/>
      <w:contextualSpacing/>
      <w:jc w:val="both"/>
    </w:pPr>
    <w:rPr>
      <w:kern w:val="2"/>
      <w:sz w:val="24"/>
      <w:szCs w:val="24"/>
    </w:rPr>
  </w:style>
  <w:style w:type="character" w:customStyle="1" w:styleId="afa">
    <w:name w:val="有序列表 字符"/>
    <w:basedOn w:val="af9"/>
    <w:link w:val="a3"/>
  </w:style>
  <w:style w:type="character" w:customStyle="1" w:styleId="ab">
    <w:name w:val="表格 字符"/>
    <w:basedOn w:val="a5"/>
    <w:link w:val="a9"/>
    <w:qFormat/>
  </w:style>
  <w:style w:type="character" w:styleId="afb">
    <w:name w:val="Placeholder Text"/>
    <w:basedOn w:val="a5"/>
    <w:uiPriority w:val="99"/>
    <w:semiHidden/>
    <w:rPr>
      <w:color w:val="808080"/>
    </w:rPr>
  </w:style>
  <w:style w:type="paragraph" w:styleId="afc">
    <w:name w:val="List Paragraph"/>
    <w:basedOn w:val="a4"/>
    <w:uiPriority w:val="34"/>
    <w:pPr>
      <w:framePr w:wrap="notBeside" w:hAnchor="text" w:y="1"/>
      <w:ind w:firstLine="420"/>
    </w:pPr>
  </w:style>
  <w:style w:type="table" w:customStyle="1" w:styleId="11">
    <w:name w:val="网格型浅色1"/>
    <w:basedOn w:val="a6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6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d">
    <w:name w:val="行间公式表格"/>
    <w:basedOn w:val="a6"/>
    <w:uiPriority w:val="99"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6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参考文献"/>
    <w:link w:val="afe"/>
    <w:qFormat/>
    <w:pPr>
      <w:numPr>
        <w:numId w:val="4"/>
      </w:numPr>
      <w:topLinePunct/>
      <w:spacing w:line="360" w:lineRule="exact"/>
    </w:pPr>
    <w:rPr>
      <w:kern w:val="2"/>
      <w:sz w:val="24"/>
      <w:szCs w:val="24"/>
    </w:rPr>
  </w:style>
  <w:style w:type="table" w:customStyle="1" w:styleId="aff">
    <w:name w:val="代码清单"/>
    <w:basedOn w:val="a6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e">
    <w:name w:val="参考文献 字符"/>
    <w:basedOn w:val="a5"/>
    <w:link w:val="a"/>
    <w:qFormat/>
  </w:style>
  <w:style w:type="table" w:customStyle="1" w:styleId="12">
    <w:name w:val="样式1"/>
    <w:basedOn w:val="a6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4"/>
    <w:link w:val="14"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1">
    <w:name w:val="代码清单辅助样式2"/>
    <w:basedOn w:val="a4"/>
    <w:link w:val="22"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5"/>
    <w:link w:val="13"/>
    <w:qFormat/>
    <w:rPr>
      <w:b/>
    </w:rPr>
  </w:style>
  <w:style w:type="paragraph" w:customStyle="1" w:styleId="31">
    <w:name w:val="代码清单辅助样式3"/>
    <w:basedOn w:val="a8"/>
    <w:link w:val="32"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2">
    <w:name w:val="代码清单辅助样式2 字符"/>
    <w:basedOn w:val="a5"/>
    <w:link w:val="21"/>
  </w:style>
  <w:style w:type="character" w:customStyle="1" w:styleId="aa">
    <w:name w:val="题注 字符"/>
    <w:basedOn w:val="a5"/>
    <w:link w:val="a8"/>
    <w:uiPriority w:val="35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a"/>
    <w:link w:val="31"/>
    <w:qFormat/>
    <w:rPr>
      <w:rFonts w:cstheme="majorBidi"/>
      <w:b/>
      <w:sz w:val="20"/>
      <w:szCs w:val="20"/>
    </w:rPr>
  </w:style>
  <w:style w:type="paragraph" w:customStyle="1" w:styleId="aff0">
    <w:name w:val="图片"/>
    <w:next w:val="a1"/>
    <w:link w:val="aff1"/>
    <w:qFormat/>
    <w:pPr>
      <w:keepNext/>
      <w:jc w:val="center"/>
    </w:pPr>
    <w:rPr>
      <w:kern w:val="2"/>
      <w:sz w:val="24"/>
      <w:szCs w:val="24"/>
    </w:rPr>
  </w:style>
  <w:style w:type="paragraph" w:customStyle="1" w:styleId="a1">
    <w:name w:val="图注"/>
    <w:basedOn w:val="a0"/>
    <w:next w:val="a4"/>
    <w:link w:val="aff2"/>
    <w:qFormat/>
    <w:pPr>
      <w:numPr>
        <w:ilvl w:val="8"/>
      </w:numPr>
      <w:spacing w:beforeLines="25" w:before="60" w:afterLines="50" w:after="120"/>
    </w:pPr>
  </w:style>
  <w:style w:type="paragraph" w:customStyle="1" w:styleId="a0">
    <w:name w:val="表注"/>
    <w:basedOn w:val="a4"/>
    <w:next w:val="a9"/>
    <w:link w:val="aff3"/>
    <w:qFormat/>
    <w:rsid w:val="00C4321E"/>
    <w:pPr>
      <w:keepNext/>
      <w:numPr>
        <w:ilvl w:val="7"/>
        <w:numId w:val="1"/>
      </w:numPr>
      <w:spacing w:beforeLines="50" w:before="120" w:after="60"/>
      <w:ind w:firstLineChars="0"/>
      <w:jc w:val="center"/>
    </w:pPr>
    <w:rPr>
      <w:b/>
      <w:sz w:val="22"/>
    </w:rPr>
  </w:style>
  <w:style w:type="paragraph" w:customStyle="1" w:styleId="23">
    <w:name w:val="创建图片辅助样式2"/>
    <w:link w:val="24"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1">
    <w:name w:val="图片 字符"/>
    <w:basedOn w:val="a5"/>
    <w:link w:val="aff0"/>
    <w:qFormat/>
  </w:style>
  <w:style w:type="character" w:customStyle="1" w:styleId="24">
    <w:name w:val="创建图片辅助样式2 字符"/>
    <w:basedOn w:val="aa"/>
    <w:link w:val="23"/>
    <w:qFormat/>
    <w:rPr>
      <w:rFonts w:cstheme="majorBidi"/>
      <w:b/>
      <w:sz w:val="20"/>
      <w:szCs w:val="20"/>
    </w:rPr>
  </w:style>
  <w:style w:type="paragraph" w:customStyle="1" w:styleId="aff4">
    <w:name w:val="创建表格辅助样式"/>
    <w:basedOn w:val="a8"/>
    <w:next w:val="a9"/>
    <w:link w:val="aff5"/>
    <w:pPr>
      <w:keepNext/>
    </w:pPr>
  </w:style>
  <w:style w:type="character" w:customStyle="1" w:styleId="aff5">
    <w:name w:val="创建表格辅助样式 字符"/>
    <w:basedOn w:val="aa"/>
    <w:link w:val="aff4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pPr>
      <w:numPr>
        <w:numId w:val="5"/>
      </w:numPr>
      <w:wordWrap w:val="0"/>
      <w:topLinePunct/>
      <w:spacing w:beforeLines="50" w:before="50" w:afterLines="50" w:after="50"/>
      <w:ind w:leftChars="100" w:left="200" w:hangingChars="100" w:hanging="100"/>
      <w:contextualSpacing/>
      <w:jc w:val="both"/>
    </w:pPr>
    <w:rPr>
      <w:kern w:val="2"/>
      <w:sz w:val="24"/>
      <w:szCs w:val="24"/>
    </w:rPr>
  </w:style>
  <w:style w:type="character" w:customStyle="1" w:styleId="Step0">
    <w:name w:val="Step流程 字符"/>
    <w:basedOn w:val="afa"/>
    <w:link w:val="Step"/>
    <w:qFormat/>
  </w:style>
  <w:style w:type="paragraph" w:customStyle="1" w:styleId="41">
    <w:name w:val="代码清单辅助样式4"/>
    <w:link w:val="42"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kern w:val="2"/>
      <w:sz w:val="21"/>
      <w:szCs w:val="24"/>
    </w:rPr>
  </w:style>
  <w:style w:type="character" w:customStyle="1" w:styleId="42">
    <w:name w:val="代码清单辅助样式4 字符"/>
    <w:basedOn w:val="a5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5"/>
    <w:rPr>
      <w:vanish/>
      <w:color w:val="FF0000"/>
    </w:rPr>
  </w:style>
  <w:style w:type="paragraph" w:customStyle="1" w:styleId="MTDisplayEquation">
    <w:name w:val="MTDisplayEquation"/>
    <w:basedOn w:val="a4"/>
    <w:next w:val="a4"/>
    <w:link w:val="MTDisplayEquation0"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5"/>
    <w:link w:val="MTDisplayEquation"/>
    <w:qFormat/>
    <w:rPr>
      <w:rFonts w:eastAsia="Microsoft YaHei UI Light"/>
    </w:rPr>
  </w:style>
  <w:style w:type="paragraph" w:customStyle="1" w:styleId="aff6">
    <w:name w:val="行间公式辅助样式"/>
    <w:next w:val="a4"/>
    <w:link w:val="aff7"/>
    <w:qFormat/>
    <w:pPr>
      <w:jc w:val="center"/>
    </w:pPr>
    <w:rPr>
      <w:kern w:val="2"/>
      <w:sz w:val="24"/>
      <w:szCs w:val="24"/>
    </w:rPr>
  </w:style>
  <w:style w:type="character" w:customStyle="1" w:styleId="aff7">
    <w:name w:val="行间公式辅助样式 字符"/>
    <w:basedOn w:val="a5"/>
    <w:link w:val="aff6"/>
    <w:qFormat/>
  </w:style>
  <w:style w:type="table" w:customStyle="1" w:styleId="MTEBNumberedEquation">
    <w:name w:val="MTEBNumberedEquation"/>
    <w:basedOn w:val="a6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3">
    <w:name w:val="表注 字符"/>
    <w:basedOn w:val="a5"/>
    <w:link w:val="a0"/>
    <w:qFormat/>
    <w:rsid w:val="00C4321E"/>
    <w:rPr>
      <w:b/>
      <w:kern w:val="2"/>
      <w:sz w:val="22"/>
      <w:szCs w:val="24"/>
    </w:rPr>
  </w:style>
  <w:style w:type="character" w:customStyle="1" w:styleId="aff2">
    <w:name w:val="图注 字符"/>
    <w:basedOn w:val="aff3"/>
    <w:link w:val="a1"/>
    <w:qFormat/>
    <w:rPr>
      <w:rFonts w:eastAsia="楷体"/>
      <w:b/>
      <w:kern w:val="2"/>
      <w:sz w:val="22"/>
      <w:szCs w:val="24"/>
    </w:rPr>
  </w:style>
  <w:style w:type="character" w:customStyle="1" w:styleId="60">
    <w:name w:val="标题 6 字符"/>
    <w:basedOn w:val="a5"/>
    <w:link w:val="6"/>
    <w:uiPriority w:val="9"/>
    <w:qFormat/>
    <w:rPr>
      <w:rFonts w:cstheme="majorBidi"/>
      <w:b/>
      <w:bCs/>
    </w:rPr>
  </w:style>
  <w:style w:type="character" w:customStyle="1" w:styleId="70">
    <w:name w:val="标题 7 字符"/>
    <w:basedOn w:val="a5"/>
    <w:link w:val="7"/>
    <w:uiPriority w:val="9"/>
    <w:qFormat/>
    <w:rPr>
      <w:b/>
      <w:bCs/>
    </w:rPr>
  </w:style>
  <w:style w:type="character" w:customStyle="1" w:styleId="ad">
    <w:name w:val="纯文本 字符"/>
    <w:basedOn w:val="a5"/>
    <w:link w:val="ac"/>
    <w:qFormat/>
    <w:rPr>
      <w:rFonts w:ascii="宋体" w:hAnsi="Courier New" w:cs="Courier New"/>
      <w:szCs w:val="21"/>
    </w:rPr>
  </w:style>
  <w:style w:type="paragraph" w:customStyle="1" w:styleId="25">
    <w:name w:val="样式2"/>
    <w:basedOn w:val="af0"/>
    <w:link w:val="26"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1"/>
    <w:link w:val="25"/>
    <w:qFormat/>
    <w:rPr>
      <w:rFonts w:cs="Times New Roman"/>
      <w:sz w:val="18"/>
      <w:szCs w:val="18"/>
    </w:rPr>
  </w:style>
  <w:style w:type="table" w:customStyle="1" w:styleId="33">
    <w:name w:val="样式3"/>
    <w:basedOn w:val="a6"/>
    <w:uiPriority w:val="99"/>
    <w:rsid w:val="00EA2CE9"/>
    <w:tblPr/>
    <w:tblStylePr w:type="firstRow">
      <w:rPr>
        <w:rFonts w:eastAsia="宋体"/>
        <w:b/>
        <w:sz w:val="24"/>
      </w:rPr>
    </w:tblStylePr>
  </w:style>
  <w:style w:type="paragraph" w:customStyle="1" w:styleId="aff8">
    <w:name w:val="图表标题"/>
    <w:basedOn w:val="a4"/>
    <w:next w:val="a4"/>
    <w:rsid w:val="009F7A3E"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5"/>
    <w:rsid w:val="006D1505"/>
    <w:rPr>
      <w:vanish/>
      <w:color w:val="FF0000"/>
      <w:sz w:val="32"/>
      <w:szCs w:val="48"/>
    </w:rPr>
  </w:style>
  <w:style w:type="paragraph" w:customStyle="1" w:styleId="AMDisplayEquation">
    <w:name w:val="AMDisplayEquation"/>
    <w:basedOn w:val="a4"/>
    <w:next w:val="a4"/>
    <w:link w:val="AMDisplayEquation0"/>
    <w:rsid w:val="006D1505"/>
    <w:pPr>
      <w:tabs>
        <w:tab w:val="center" w:pos="4540"/>
        <w:tab w:val="right" w:pos="9080"/>
      </w:tabs>
      <w:ind w:firstLineChars="0" w:firstLine="0"/>
    </w:pPr>
  </w:style>
  <w:style w:type="character" w:customStyle="1" w:styleId="AMDisplayEquation0">
    <w:name w:val="AMDisplayEquation 字符"/>
    <w:basedOn w:val="a5"/>
    <w:link w:val="AMDisplayEquation"/>
    <w:rsid w:val="006D1505"/>
    <w:rPr>
      <w:kern w:val="2"/>
      <w:sz w:val="24"/>
      <w:szCs w:val="24"/>
    </w:rPr>
  </w:style>
  <w:style w:type="paragraph" w:styleId="TOC">
    <w:name w:val="TOC Heading"/>
    <w:basedOn w:val="1"/>
    <w:next w:val="a4"/>
    <w:uiPriority w:val="39"/>
    <w:unhideWhenUsed/>
    <w:qFormat/>
    <w:rsid w:val="00DE0BE1"/>
    <w:pPr>
      <w:numPr>
        <w:numId w:val="0"/>
      </w:numPr>
      <w:wordWrap/>
      <w:topLinePunct w:val="0"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table" w:customStyle="1" w:styleId="aff9">
    <w:name w:val="三线表自制"/>
    <w:basedOn w:val="a6"/>
    <w:uiPriority w:val="99"/>
    <w:rsid w:val="00D91B5F"/>
    <w:pPr>
      <w:jc w:val="center"/>
    </w:pPr>
    <w:tblPr>
      <w:tblBorders>
        <w:top w:val="single" w:sz="12" w:space="0" w:color="auto"/>
        <w:bottom w:val="single" w:sz="12" w:space="0" w:color="auto"/>
      </w:tblBorders>
      <w:tblCellMar>
        <w:left w:w="28" w:type="dxa"/>
        <w:right w:w="28" w:type="dxa"/>
      </w:tblCellMar>
    </w:tblPr>
    <w:tcPr>
      <w:vAlign w:val="center"/>
    </w:tcPr>
    <w:tblStylePr w:type="firstRow">
      <w:pPr>
        <w:jc w:val="center"/>
      </w:pPr>
      <w:rPr>
        <w:rFonts w:eastAsia="宋体"/>
        <w:b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oleObject" Target="embeddings/oleObject1.bin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5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image" Target="media/image6.png"/><Relationship Id="rId27" Type="http://schemas.openxmlformats.org/officeDocument/2006/relationships/theme" Target="theme/theme1.xml"/><Relationship Id="rIdReport1" Type="http://schemas.openxmlformats.org/officeDocument/2006/relationships/image" Target="media/report-1.png"/><Relationship Id="rIdReport2" Type="http://schemas.openxmlformats.org/officeDocument/2006/relationships/image" Target="media/report-2.png"/><Relationship Id="rIdReport3" Type="http://schemas.openxmlformats.org/officeDocument/2006/relationships/image" Target="media/report-3.png"/><Relationship Id="rIdReport4" Type="http://schemas.openxmlformats.org/officeDocument/2006/relationships/image" Target="media/report-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0013;&#21335;&#20113;&#30424;\&#21016;&#26032;&#20754;(&#25968;&#23398;&#19982;&#32479;&#35745;&#23398;&#38498;)\Teaching\&#25968;&#23398;&#24314;&#27169;\&#25968;&#27169;&#31649;&#29702;\2022\&#26657;&#36187;\&#35770;&#25991;_&#25253;&#21578;_&#27169;&#26495;_20220401_v5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47FAD8D-3574-43B4-91EA-F9195C46E9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论文_报告_模板_20220401_v5.dotm</Template>
  <TotalTime>426</TotalTime>
  <Pages>8</Pages>
  <Words>2479</Words>
  <Characters>2926</Characters>
  <Application>Microsoft Office Word</Application>
  <DocSecurity>0</DocSecurity>
  <Lines>243</Lines>
  <Paragraphs>225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147</cp:revision>
  <cp:lastPrinted>2024-09-16T12:13:00Z</cp:lastPrinted>
  <dcterms:created xsi:type="dcterms:W3CDTF">2022-06-07T03:19:00Z</dcterms:created>
  <dcterms:modified xsi:type="dcterms:W3CDTF">2026-09-18T01:23:00Z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ProductBuildVer">
    <vt:lpwstr>2052-11.1.0.11744</vt:lpwstr>
  </property>
  <property fmtid="{D5CDD505-2E9C-101B-9397-08002B2CF9AE}" pid="6" name="ICV">
    <vt:lpwstr>7A05904700DC48CAB82DB35BBDA828BD</vt:lpwstr>
  </property>
  <property fmtid="{D5CDD505-2E9C-101B-9397-08002B2CF9AE}" pid="7" name="AMEquationSection">
    <vt:lpwstr>1</vt:lpwstr>
  </property>
  <property fmtid="{D5CDD505-2E9C-101B-9397-08002B2CF9AE}" pid="8" name="AMWinEqns">
    <vt:bool>true</vt:bool>
  </property>
  <property fmtid="{D5CDD505-2E9C-101B-9397-08002B2CF9AE}" pid="9" name="AMEquationNumber2">
    <vt:lpwstr>(#E1)</vt:lpwstr>
  </property>
  <property fmtid="{D5CDD505-2E9C-101B-9397-08002B2CF9AE}" pid="10" name="AMDeferFieldUpdate">
    <vt:lpwstr>1</vt:lpwstr>
  </property>
</Properties>
</file>