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  <w:rFonts w:ascii="Avenir Next LT Pro Light" w:cs="Avenir Next LT Pro Light" w:eastAsia="Avenir Next LT Pro Light" w:hAnsi="Avenir Next LT Pro Light"/>
        </w:rPr>
        <w:t xml:space="preserve">Name: Christopher Davis</w:t>
      </w:r>
    </w:p>
    <w:p/>
    <w:p/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A5A5A5"/>
          </w:tcPr>
          <w:p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  <w:rFonts w:ascii="Avenir Next LT Pro Light" w:cs="Avenir Next LT Pro Light" w:eastAsia="Avenir Next LT Pro Light" w:hAnsi="Avenir Next LT Pro Light"/>
              </w:rPr>
              <w:t xml:space="preserve">Day</w:t>
            </w:r>
          </w:p>
        </w:tc>
        <w:tc>
          <w:tcPr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A5A5A5"/>
          </w:tcPr>
          <w:p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  <w:rFonts w:ascii="Avenir Next LT Pro Light" w:cs="Avenir Next LT Pro Light" w:eastAsia="Avenir Next LT Pro Light" w:hAnsi="Avenir Next LT Pro Light"/>
              </w:rPr>
              <w:t xml:space="preserve">Date</w:t>
            </w:r>
          </w:p>
        </w:tc>
        <w:tc>
          <w:tcPr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A5A5A5"/>
          </w:tcPr>
          <w:p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  <w:rFonts w:ascii="Avenir Next LT Pro Light" w:cs="Avenir Next LT Pro Light" w:eastAsia="Avenir Next LT Pro Light" w:hAnsi="Avenir Next LT Pro Light"/>
              </w:rPr>
              <w:t xml:space="preserve">Weekly Assignments and Tasks</w:t>
            </w:r>
          </w:p>
        </w:tc>
      </w:tr>
      <w:tr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Monday</w:t>
            </w:r>
          </w:p>
        </w:tc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14 October 2024</w:t>
            </w:r>
          </w:p>
        </w:tc>
        <w:tc>
          <w:tcPr>
            <w:tcW w:type="pct" w:w="6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/>
        </w:tc>
      </w:tr>
      <w:tr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Tuesday</w:t>
            </w:r>
          </w:p>
        </w:tc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15 October 2024</w:t>
            </w:r>
          </w:p>
        </w:tc>
        <w:tc>
          <w:tcPr>
            <w:tcW w:type="pct" w:w="6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/>
        </w:tc>
      </w:tr>
      <w:tr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Wednesday</w:t>
            </w:r>
          </w:p>
        </w:tc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16 October 2024</w:t>
            </w:r>
          </w:p>
        </w:tc>
        <w:tc>
          <w:tcPr>
            <w:tcW w:type="pct" w:w="6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/>
        </w:tc>
      </w:tr>
      <w:tr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Thursday</w:t>
            </w:r>
          </w:p>
        </w:tc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17 October 2024</w:t>
            </w:r>
          </w:p>
        </w:tc>
        <w:tc>
          <w:tcPr>
            <w:tcW w:type="pct" w:w="6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/>
        </w:tc>
      </w:tr>
      <w:tr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Friday</w:t>
            </w:r>
          </w:p>
        </w:tc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18 October 2024</w:t>
            </w:r>
          </w:p>
        </w:tc>
        <w:tc>
          <w:tcPr>
            <w:tcW w:type="pct" w:w="6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/>
        </w:tc>
      </w:tr>
      <w:tr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Saturday</w:t>
            </w:r>
          </w:p>
        </w:tc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19 October 2024</w:t>
            </w:r>
          </w:p>
        </w:tc>
        <w:tc>
          <w:tcPr>
            <w:tcW w:type="pct" w:w="6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/>
        </w:tc>
      </w:tr>
      <w:tr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Sunday</w:t>
            </w:r>
          </w:p>
        </w:tc>
        <w:tc>
          <w:tcPr>
            <w:tcW w:type="pct" w:w="2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20 October 2024</w:t>
            </w:r>
          </w:p>
        </w:tc>
        <w:tc>
          <w:tcPr>
            <w:tcW w:type="pct" w:w="60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/>
        </w:tc>
      </w:tr>
    </w:tbl>
    <w:p>
      <w:pPr>
        <w:sectPr>
          <w:headerReference w:type="default" r:id="rId6"/>
          <w:pgSz w:w="11906" w:h="16838" w:orient="portrait"/>
          <w:pgMar w:top="1440" w:right="750" w:bottom="750" w:left="750" w:header="750" w:footer="708" w:gutter="0"/>
          <w:pgNumType/>
          <w:docGrid w:linePitch="360"/>
        </w:sectPr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00000"/>
            <w:tcBorders>
              <w:top w:val="nil" w:sz="0"/>
              <w:left w:val="nil" w:sz="0"/>
              <w:bottom w:val="nil" w:sz="0"/>
              <w:right w:val="nil" w:sz="0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sz w:val="32"/>
                <w:szCs w:val="32"/>
                <w:rFonts w:ascii="Avenir Next LT Pro Light" w:cs="Avenir Next LT Pro Light" w:eastAsia="Avenir Next LT Pro Light" w:hAnsi="Avenir Next LT Pro Light"/>
              </w:rPr>
              <w:t xml:space="preserve">Notes:</w:t>
            </w:r>
          </w:p>
        </w:tc>
      </w:tr>
      <w:tr>
        <w:tc>
          <w:tcPr>
            <w:tcW w:type="pct" w:w="100%"/>
            <w:tcBorders>
              <w:top w:val="nil" w:sz="0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  <w:rFonts w:ascii="Avenir Next LT Pro Light" w:cs="Avenir Next LT Pro Light" w:eastAsia="Avenir Next LT Pro Light" w:hAnsi="Avenir Next LT Pro Light"/>
              </w:rPr>
            </w:r>
          </w:p>
        </w:tc>
      </w:tr>
    </w:tbl>
    <w:p>
      <w:pPr>
        <w:sectPr>
          <w:type w:val="continuous"/>
          <w:pgSz w:w="11906" w:h="16838" w:orient="portrait"/>
          <w:pgMar w:top="1440" w:right="750" w:bottom="750" w:left="750" w:header="750" w:footer="708" w:gutter="0"/>
          <w:pgNumType/>
          <w:docGrid w:linePitch="360"/>
        </w:sectPr>
      </w:pPr>
    </w:p>
    <w:p/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A5A5A5"/>
          </w:tcPr>
          <w:p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  <w:rFonts w:ascii="Avenir Next LT Pro Light" w:cs="Avenir Next LT Pro Light" w:eastAsia="Avenir Next LT Pro Light" w:hAnsi="Avenir Next LT Pro Light"/>
              </w:rPr>
              <w:t xml:space="preserve">Leave Type</w:t>
            </w:r>
          </w:p>
        </w:tc>
        <w:tc>
          <w:tcPr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A5A5A5"/>
          </w:tcPr>
          <w:p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  <w:rFonts w:ascii="Avenir Next LT Pro Light" w:cs="Avenir Next LT Pro Light" w:eastAsia="Avenir Next LT Pro Light" w:hAnsi="Avenir Next LT Pro Light"/>
              </w:rPr>
              <w:t xml:space="preserve">Hours</w:t>
            </w:r>
          </w:p>
        </w:tc>
      </w:tr>
      <w:tr>
        <w:tc>
          <w:tcPr>
            <w:tcW w:type="pct" w:w="75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Vacation</w:t>
            </w:r>
          </w:p>
        </w:tc>
        <w:tc>
          <w:tcPr>
            <w:tcW w:type="pct" w:w="25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20"/>
                <w:szCs w:val="20"/>
                <w:rFonts w:ascii="Avenir Next LT Pro Light" w:cs="Avenir Next LT Pro Light" w:eastAsia="Avenir Next LT Pro Light" w:hAnsi="Avenir Next LT Pro Light"/>
              </w:rPr>
            </w:r>
          </w:p>
        </w:tc>
      </w:tr>
      <w:tr>
        <w:tc>
          <w:tcPr>
            <w:tcW w:type="pct" w:w="75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Sick Leave</w:t>
            </w:r>
          </w:p>
        </w:tc>
        <w:tc>
          <w:tcPr>
            <w:tcW w:type="pct" w:w="25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>
            <w:r>
              <w:rPr>
                <w:b w:val="false"/>
                <w:bCs w:val="false"/>
                <w:sz w:val="20"/>
                <w:szCs w:val="20"/>
                <w:rFonts w:ascii="Avenir Next LT Pro Light" w:cs="Avenir Next LT Pro Light" w:eastAsia="Avenir Next LT Pro Light" w:hAnsi="Avenir Next LT Pro Light"/>
              </w:rPr>
            </w:r>
          </w:p>
        </w:tc>
      </w:tr>
      <w:tr>
        <w:tc>
          <w:tcPr>
            <w:tcW w:type="pct" w:w="75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Comp Leave</w:t>
            </w:r>
          </w:p>
        </w:tc>
        <w:tc>
          <w:tcPr>
            <w:tcW w:type="pct" w:w="25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20"/>
                <w:szCs w:val="20"/>
                <w:rFonts w:ascii="Avenir Next LT Pro Light" w:cs="Avenir Next LT Pro Light" w:eastAsia="Avenir Next LT Pro Light" w:hAnsi="Avenir Next LT Pro Light"/>
              </w:rPr>
            </w:r>
          </w:p>
        </w:tc>
      </w:tr>
      <w:tr>
        <w:tc>
          <w:tcPr>
            <w:tcW w:type="pct" w:w="75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Authorized Absence</w:t>
            </w:r>
          </w:p>
        </w:tc>
        <w:tc>
          <w:tcPr>
            <w:tcW w:type="pct" w:w="25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>
            <w:r>
              <w:rPr>
                <w:b w:val="false"/>
                <w:bCs w:val="false"/>
                <w:sz w:val="20"/>
                <w:szCs w:val="20"/>
                <w:rFonts w:ascii="Avenir Next LT Pro Light" w:cs="Avenir Next LT Pro Light" w:eastAsia="Avenir Next LT Pro Light" w:hAnsi="Avenir Next LT Pro Light"/>
              </w:rPr>
            </w:r>
          </w:p>
        </w:tc>
      </w:tr>
      <w:tr>
        <w:tc>
          <w:tcPr>
            <w:tcW w:type="pct" w:w="75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Leave without Pay</w:t>
            </w:r>
          </w:p>
        </w:tc>
        <w:tc>
          <w:tcPr>
            <w:tcW w:type="pct" w:w="25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EDEDED"/>
          </w:tcPr>
          <w:p>
            <w:r>
              <w:rPr>
                <w:b w:val="false"/>
                <w:bCs w:val="false"/>
                <w:sz w:val="20"/>
                <w:szCs w:val="20"/>
                <w:rFonts w:ascii="Avenir Next LT Pro Light" w:cs="Avenir Next LT Pro Light" w:eastAsia="Avenir Next LT Pro Light" w:hAnsi="Avenir Next LT Pro Light"/>
              </w:rPr>
            </w:r>
          </w:p>
        </w:tc>
      </w:tr>
      <w:tr>
        <w:tc>
          <w:tcPr>
            <w:tcW w:type="pct" w:w="75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>
            <w:r>
              <w:rPr>
                <w:b w:val="false"/>
                <w:bCs w:val="false"/>
                <w:sz w:val="30"/>
                <w:szCs w:val="30"/>
                <w:rFonts w:ascii="Avenir Next LT Pro Light" w:cs="Avenir Next LT Pro Light" w:eastAsia="Avenir Next LT Pro Light" w:hAnsi="Avenir Next LT Pro Light"/>
              </w:rPr>
              <w:t xml:space="preserve">Cumulative Comp Leave</w:t>
            </w:r>
          </w:p>
        </w:tc>
        <w:tc>
          <w:tcPr>
            <w:tcW w:type="pct" w:w="25%"/>
            <w:tcBorders>
              <w:top w:val="single" w:color="A5A5A5" w:sz="5"/>
              <w:left w:val="single" w:color="A5A5A5" w:sz="5"/>
              <w:bottom w:val="single" w:color="A5A5A5" w:sz="5"/>
              <w:right w:val="single" w:color="A5A5A5" w:sz="5"/>
            </w:tcBorders>
            <w:shd w:fill="FFFFFF"/>
          </w:tcPr>
          <w:p>
            <w:r>
              <w:rPr>
                <w:b w:val="false"/>
                <w:bCs w:val="false"/>
                <w:sz w:val="20"/>
                <w:szCs w:val="20"/>
                <w:rFonts w:ascii="Avenir Next LT Pro Light" w:cs="Avenir Next LT Pro Light" w:eastAsia="Avenir Next LT Pro Light" w:hAnsi="Avenir Next LT Pro Light"/>
              </w:rPr>
            </w:r>
          </w:p>
        </w:tc>
      </w:tr>
    </w:tbl>
    <w:sectPr>
      <w:type w:val="continuous"/>
      <w:pgSz w:w="11906" w:h="16838" w:orient="portrait"/>
      <w:pgMar w:top="1440" w:right="750" w:bottom="750" w:left="750" w:header="75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auto" w:w="1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Borders>
            <w:top w:val="nil" w:sz="0"/>
            <w:left w:val="nil" w:sz="0"/>
            <w:bottom w:val="nil" w:sz="0"/>
            <w:right w:val="nil" w:sz="0"/>
          </w:tcBorders>
          <w:vAlign w:val="center"/>
        </w:tcPr>
        <w:p>
          <w:r>
            <w:drawing>
              <wp:inline distT="0" distB="0" distL="0" distR="0">
                <wp:extent cx="2124075" cy="857250"/>
                <wp:effectExtent b="0" l="0" r="0" t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240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il" w:sz="0"/>
            <w:left w:val="nil" w:sz="0"/>
            <w:bottom w:val="nil" w:sz="0"/>
            <w:right w:val="nil" w:sz="0"/>
          </w:tcBorders>
          <w:vAlign w:val="center"/>
        </w:tcPr>
        <w:p>
          <w:pPr>
            <w:jc w:val="right"/>
          </w:pPr>
          <w:r>
            <w:rPr>
              <w:sz w:val="28"/>
              <w:szCs w:val="28"/>
              <w:rFonts w:ascii="Humana Sans ITC Std Light" w:cs="Humana Sans ITC Std Light" w:eastAsia="Humana Sans ITC Std Light" w:hAnsi="Humana Sans ITC Std Light"/>
            </w:rPr>
            <w:t xml:space="preserve">TRIO</w:t>
          </w:r>
          <w:r>
            <w:rPr>
              <w:b/>
              <w:bCs/>
              <w:color w:val="ff0000"/>
              <w:sz w:val="28"/>
              <w:szCs w:val="28"/>
              <w:rFonts w:ascii="Human Sans ITC Std Light" w:cs="Human Sans ITC Std Light" w:eastAsia="Human Sans ITC Std Light" w:hAnsi="Human Sans ITC Std Light"/>
            </w:rPr>
            <w:t xml:space="preserve"> | </w:t>
          </w:r>
          <w:r>
            <w:rPr>
              <w:sz w:val="28"/>
              <w:szCs w:val="28"/>
              <w:rFonts w:ascii="Britannic Bold" w:cs="Britannic Bold" w:eastAsia="Britannic Bold" w:hAnsi="Britannic Bold"/>
              <w:spacing w:val="50"/>
            </w:rPr>
            <w:t xml:space="preserve">EDUCATIONAL OPPORTUNITY CENTER</w:t>
          </w:r>
        </w:p>
        <w:p>
          <w:pPr>
            <w:jc w:val="right"/>
          </w:pPr>
          <w:r>
            <w:rPr>
              <w:sz w:val="40"/>
              <w:szCs w:val="40"/>
              <w:rFonts w:ascii="Avenir Next LT Pro Light" w:cs="Avenir Next LT Pro Light" w:eastAsia="Avenir Next LT Pro Light" w:hAnsi="Avenir Next LT Pro Light"/>
            </w:rPr>
            <w:t xml:space="preserve">Employee Itinerary and Leave Report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a-n45jr5cz_tanhctey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Itinerary forDavisChristopher on 14 October 2024</dc:title>
  <dc:creator>Christopher Davis</dc:creator>
  <dc:description>Itinerary generated for 909900090</dc:description>
  <cp:lastModifiedBy>Un-named</cp:lastModifiedBy>
  <cp:revision>1</cp:revision>
  <dcterms:created xsi:type="dcterms:W3CDTF">2024-10-18T18:29:37.313Z</dcterms:created>
  <dcterms:modified xsi:type="dcterms:W3CDTF">2024-10-18T18:29:37.313Z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