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olor w:val="48553F"/>
          <w:sz w:val="20"/>
          <w:szCs w:val="20"/>
        </w:rPr>
        <w:t xml:space="preserve">Product 1 — Case Study</w:t>
      </w:r>
    </w:p>
    <w:p>
      <w:pPr>
        <w:spacing w:before="0" w:after="120"/>
      </w:pPr>
      <w:r>
        <w:rPr>
          <w:rFonts w:ascii="Arial" w:cs="Arial" w:eastAsia="Arial" w:hAnsi="Arial"/>
          <w:b/>
          <w:bCs/>
          <w:color w:val="324027"/>
          <w:sz w:val="36"/>
          <w:szCs w:val="36"/>
        </w:rPr>
        <w:t xml:space="preserve">From Pandemic Response to Global Toolkit: The Development and Adoption of the SEIR Model for Infectious Disease Modelling</w:t>
      </w:r>
    </w:p>
    <w:p>
      <w:pPr>
        <w:spacing w:before="0" w:after="80"/>
      </w:pPr>
      <w:r>
        <w:rPr>
          <w:rFonts w:ascii="Arial" w:cs="Arial" w:eastAsia="Arial" w:hAnsi="Arial"/>
          <w:i/>
          <w:iCs/>
          <w:color w:val="48553F"/>
          <w:sz w:val="22"/>
          <w:szCs w:val="22"/>
        </w:rPr>
        <w:t xml:space="preserve">Unit: Infectious Disease Modelling · Three-Month Review Draft · March 2026</w:t>
      </w:r>
    </w:p>
    <w:p>
      <w:pPr>
        <w:pBdr>
          <w:bottom w:val="single" w:color="324027" w:sz="6" w:space="1"/>
        </w:pBdr>
        <w:spacing w:before="20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Unit ref and name</w:t>
            </w:r>
          </w:p>
        </w:tc>
        <w:tc>
          <w:tcPr>
            <w:tcW w:type="dxa" w:w="6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Infectious Disease Modelling — WP5, Argentina Toolkit Content, Phase 2</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Developer country</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Argentina</w:t>
            </w:r>
          </w:p>
        </w:tc>
      </w:tr>
      <w:tr>
        <w:tc>
          <w:tcPr>
            <w:tcW w:type="dxa" w:w="2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Case study name</w:t>
            </w:r>
          </w:p>
        </w:tc>
        <w:tc>
          <w:tcPr>
            <w:tcW w:type="dxa" w:w="6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From Pandemic Response to Global Toolkit: The Development and Adoption of the SEIR Model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Version</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Draft submitted for three-month review — March 2026</w:t>
            </w:r>
          </w:p>
        </w:tc>
      </w:tr>
      <w:tr>
        <w:tc>
          <w:tcPr>
            <w:tcW w:type="dxa" w:w="2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Case study byline</w:t>
            </w:r>
          </w:p>
        </w:tc>
        <w:tc>
          <w:tcPr>
            <w:tcW w:type="dxa" w:w="6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How an open-source SEIR model built during the COVID-19 pandemic in Argentina became the technical foundation of an interactive epidemiological platform for the Pandemic Preparedness Toolkit.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Case study description</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During the COVID-19 pandemic, researchers at the Institute for Clinical Effectiveness and Health Policy (IECS) developed an open-source SEIR model to support health system preparedness across 26 Latin American and Caribbean countries, funded by the Inter-American Development Bank. The model was implemented as an interactive Shiny platform and used to inform public health decision-making at the national level in Argentina. Drawing on the lessons learnt from that experience — including insights on how decision-makers engage with modelling tools under emergency conditions — the Argentina Unit of the Pandemic Preparedness Toolkit adopted this model as the technical foundation of its interactive epidemiological dashboard. This case study documents that journey: from the original model's design principles and real-world application, to its adaptation as a generalisable, open-source educational tool for global use.</w:t>
            </w:r>
          </w:p>
        </w:tc>
      </w:tr>
      <w:tr>
        <w:tc>
          <w:tcPr>
            <w:tcW w:type="dxa" w:w="2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Tags</w:t>
            </w:r>
          </w:p>
        </w:tc>
        <w:tc>
          <w:tcPr>
            <w:tcW w:type="dxa" w:w="6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SEIR model, epidemiological modelling, COVID-19, Argentina, Latin America, Shiny, open-source, pandemic preparedness, decision-making, health systems, interactive dashboard</w:t>
            </w:r>
          </w:p>
        </w:tc>
      </w:tr>
    </w:tbl>
    <w:p>
      <w:pPr>
        <w:spacing w:before="80" w:after="80"/>
      </w:pPr>
      <w:r>
        <w:t xml:space="preserve"/>
      </w:r>
    </w:p>
    <w:p>
      <w:pPr>
        <w:pBdr>
          <w:bottom w:val="single" w:color="324027" w:sz="6" w:space="1"/>
        </w:pBdr>
        <w:spacing w:before="200" w:after="200"/>
      </w:pPr>
      <w:r>
        <w:t xml:space="preserve"/>
      </w:r>
    </w:p>
    <w:p>
      <w:pPr>
        <w:pStyle w:val="Heading1"/>
        <w:spacing w:before="360" w:after="160"/>
      </w:pPr>
      <w:r>
        <w:rPr>
          <w:rFonts w:ascii="Arial" w:cs="Arial" w:eastAsia="Arial" w:hAnsi="Arial"/>
          <w:b/>
          <w:bCs/>
          <w:color w:val="324027"/>
          <w:sz w:val="30"/>
          <w:szCs w:val="30"/>
        </w:rPr>
        <w:t xml:space="preserve">1. Introduction</w:t>
      </w:r>
    </w:p>
    <w:p>
      <w:pPr>
        <w:spacing w:before="100" w:after="100"/>
        <w:jc w:val="both"/>
      </w:pPr>
      <w:r>
        <w:rPr>
          <w:rFonts w:ascii="Arial" w:cs="Arial" w:eastAsia="Arial" w:hAnsi="Arial"/>
          <w:color w:val="1E2A16"/>
          <w:sz w:val="22"/>
          <w:szCs w:val="22"/>
        </w:rPr>
        <w:t xml:space="preserve">Epidemiological models have long served as essential tools for understanding the dynamics of infectious disease. Their value, however, is not purely academic: in the context of a public health emergency, the ability to translate model outputs into actionable policy decisions can determine the difference between a health system that absorbs a crisis and one that collapses under it. The COVID-19 pandemic made this tension visible at an unprecedented scale.</w:t>
      </w:r>
    </w:p>
    <w:p>
      <w:pPr>
        <w:spacing w:before="100" w:after="100"/>
        <w:jc w:val="both"/>
      </w:pPr>
      <w:r>
        <w:rPr>
          <w:rFonts w:ascii="Arial" w:cs="Arial" w:eastAsia="Arial" w:hAnsi="Arial"/>
          <w:color w:val="1E2A16"/>
          <w:sz w:val="22"/>
          <w:szCs w:val="22"/>
        </w:rPr>
        <w:t xml:space="preserve">This case study documents the development of an open-source, interactive SEIR (Susceptible-Exposed-Infectious-Recovered) epidemiological model by researchers at the Institute for Clinical Effectiveness and Health Policy (IECS) in Argentina, and its subsequent adoption as the technical foundation of Product 2 of the Pandemic Preparedness Toolkit (PPT) Argentina Unit. It traces the journey from a model built under emergency conditions to inform national-level decisions, to a generalisable educational platform designed for use across diverse public health contexts worldwide.</w:t>
      </w:r>
    </w:p>
    <w:p>
      <w:pPr>
        <w:spacing w:before="100" w:after="100"/>
        <w:jc w:val="both"/>
      </w:pPr>
      <w:r>
        <w:rPr>
          <w:rFonts w:ascii="Arial" w:cs="Arial" w:eastAsia="Arial" w:hAnsi="Arial"/>
          <w:color w:val="1E2A16"/>
          <w:sz w:val="22"/>
          <w:szCs w:val="22"/>
        </w:rPr>
        <w:t xml:space="preserve">The case study is grounded in the published research of Santoro et al. (2022), a peer-reviewed article documenting the model's development and application across 26 Latin American and Caribbean countries, and in a knowledge-transfer session held with the original development team. That session brought together Adrián Santoro (lead developer and first author), Analía López and Maisa Havela (IECS, co-authors of the original paper and members of the PPT Argentina coordination team), Fernando Poletta (Data Science Expert, PPT Argentina Unit), and Cristian Paez (lead developer, Bowie platform).</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Key reference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Santoro A, López Osornio A, Williams I, Wachs M, Cejas C, Havela M, et al. Development and application of a dynamic transmission model of health systems' preparedness and response to COVID-19 in twenty-six Latin American and Caribbean countries. PLOS Glob Public Health. 2022;2(3):e0000186. https://doi.org/10.1371/journal.pgph.0000186</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2. Background and Context</w:t>
      </w:r>
    </w:p>
    <w:p>
      <w:pPr>
        <w:pStyle w:val="Heading2"/>
        <w:spacing w:before="240" w:after="120"/>
      </w:pPr>
      <w:r>
        <w:rPr>
          <w:rFonts w:ascii="Arial" w:cs="Arial" w:eastAsia="Arial" w:hAnsi="Arial"/>
          <w:b/>
          <w:bCs/>
          <w:color w:val="48553F"/>
          <w:sz w:val="26"/>
          <w:szCs w:val="26"/>
        </w:rPr>
        <w:t xml:space="preserve">2.1 The regional challenge</w:t>
      </w:r>
    </w:p>
    <w:p>
      <w:pPr>
        <w:spacing w:before="100" w:after="100"/>
        <w:jc w:val="both"/>
      </w:pPr>
      <w:r>
        <w:rPr>
          <w:rFonts w:ascii="Arial" w:cs="Arial" w:eastAsia="Arial" w:hAnsi="Arial"/>
          <w:color w:val="1E2A16"/>
          <w:sz w:val="22"/>
          <w:szCs w:val="22"/>
        </w:rPr>
        <w:t xml:space="preserve">By July 2021, SARS-CoV-2 had caused more than 190 million reported cases and over four million deaths worldwide. Latin America and the Caribbean emerged as one of the regions with the highest death toll, with almost all countries facing second and third waves of infection simultaneously. The region's vulnerability was compounded by fragmented health systems, weak social protection infrastructure, and profound socioeconomic inequalities — factors that amplified both the epidemiological burden and the difficulty of implementing effective public health responses.</w:t>
      </w:r>
    </w:p>
    <w:p>
      <w:pPr>
        <w:spacing w:before="100" w:after="100"/>
        <w:jc w:val="both"/>
      </w:pPr>
      <w:r>
        <w:rPr>
          <w:rFonts w:ascii="Arial" w:cs="Arial" w:eastAsia="Arial" w:hAnsi="Arial"/>
          <w:color w:val="1E2A16"/>
          <w:sz w:val="22"/>
          <w:szCs w:val="22"/>
        </w:rPr>
        <w:t xml:space="preserve">Governments across the region faced an acute and shared challenge: they needed to predict the impact of the measures they were implementing, understand how those measures related to population behaviour, and assess the preparedness and resilience of their health systems. Existing global models — from the Institute for Health Metrics and Evaluation (IHME), Imperial College London, and others — offered projections at a regional level, but they were not designed for local customisation or for use by analysts and decision-makers working within specific national contexts.</w:t>
      </w:r>
    </w:p>
    <w:p>
      <w:pPr>
        <w:pStyle w:val="Heading2"/>
        <w:spacing w:before="240" w:after="120"/>
      </w:pPr>
      <w:r>
        <w:rPr>
          <w:rFonts w:ascii="Arial" w:cs="Arial" w:eastAsia="Arial" w:hAnsi="Arial"/>
          <w:b/>
          <w:bCs/>
          <w:color w:val="48553F"/>
          <w:sz w:val="26"/>
          <w:szCs w:val="26"/>
        </w:rPr>
        <w:t xml:space="preserve">2.2 The IECS response</w:t>
      </w:r>
    </w:p>
    <w:p>
      <w:pPr>
        <w:spacing w:before="100" w:after="100"/>
        <w:jc w:val="both"/>
      </w:pPr>
      <w:r>
        <w:rPr>
          <w:rFonts w:ascii="Arial" w:cs="Arial" w:eastAsia="Arial" w:hAnsi="Arial"/>
          <w:color w:val="1E2A16"/>
          <w:sz w:val="22"/>
          <w:szCs w:val="22"/>
        </w:rPr>
        <w:t xml:space="preserve">In 2020, IECS — through its Centre for Implementation and Innovation in Health Policies and its Health Technology Assessment and Economic Evaluation Department — developed a model specifically designed to address this gap. Funded by the Inter-American Development Bank (IDB), the project had two primary objectives: to estimate the transmission dynamics of COVID-19 and the preparedness and response capacity of health systems across 26 Latin American and Caribbean countries; and to facilitate policy-makers' decisions by allowing users to adjust model parameters according to the specific pandemic trajectory and policy context in each country.</w:t>
      </w:r>
    </w:p>
    <w:p>
      <w:pPr>
        <w:spacing w:before="100" w:after="100"/>
        <w:jc w:val="both"/>
      </w:pPr>
      <w:r>
        <w:rPr>
          <w:rFonts w:ascii="Arial" w:cs="Arial" w:eastAsia="Arial" w:hAnsi="Arial"/>
          <w:color w:val="1E2A16"/>
          <w:sz w:val="22"/>
          <w:szCs w:val="22"/>
        </w:rPr>
        <w:t xml:space="preserve">The result was an open-access, open-source interactive platform built in R using the Shiny framework, publicly accessible at shinyapps.iecs.org.ar/modelo-covid19/. The platform was designed to be used by both technical analysts and public health decision-makers, and was adopted for national-level use in Argentina by the Ministry of Health during the pandemic.</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3. Objectives</w:t>
      </w:r>
    </w:p>
    <w:p>
      <w:pPr>
        <w:spacing w:before="100" w:after="100"/>
        <w:jc w:val="both"/>
      </w:pPr>
      <w:r>
        <w:rPr>
          <w:rFonts w:ascii="Arial" w:cs="Arial" w:eastAsia="Arial" w:hAnsi="Arial"/>
          <w:color w:val="1E2A16"/>
          <w:sz w:val="22"/>
          <w:szCs w:val="22"/>
        </w:rPr>
        <w:t xml:space="preserve">The original IECS model was designed to answer a specific set of operational questions that governments needed to address in real time:</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How many new infections and deaths are estimated per day?</w:t>
      </w:r>
    </w:p>
    <w:p>
      <w:pPr>
        <w:pStyle w:val="ListParagraph"/>
        <w:numPr>
          <w:ilvl w:val="0"/>
          <w:numId w:val="2"/>
        </w:numPr>
        <w:spacing w:before="60" w:after="60"/>
      </w:pPr>
      <w:r>
        <w:rPr>
          <w:rFonts w:ascii="Arial" w:cs="Arial" w:eastAsia="Arial" w:hAnsi="Arial"/>
          <w:b w:val="false"/>
          <w:bCs w:val="false"/>
          <w:color w:val="1E2A16"/>
          <w:sz w:val="22"/>
          <w:szCs w:val="22"/>
        </w:rPr>
        <w:t xml:space="preserve">When are the peaks of cases and deaths expected under different intervention scenarios?</w:t>
      </w:r>
    </w:p>
    <w:p>
      <w:pPr>
        <w:pStyle w:val="ListParagraph"/>
        <w:numPr>
          <w:ilvl w:val="0"/>
          <w:numId w:val="2"/>
        </w:numPr>
        <w:spacing w:before="60" w:after="60"/>
      </w:pPr>
      <w:r>
        <w:rPr>
          <w:rFonts w:ascii="Arial" w:cs="Arial" w:eastAsia="Arial" w:hAnsi="Arial"/>
          <w:b w:val="false"/>
          <w:bCs w:val="false"/>
          <w:color w:val="1E2A16"/>
          <w:sz w:val="22"/>
          <w:szCs w:val="22"/>
        </w:rPr>
        <w:t xml:space="preserve">What occupancy rate will intensive care unit (ICU) services reach along the epidemiological curve?</w:t>
      </w:r>
    </w:p>
    <w:p>
      <w:pPr>
        <w:pStyle w:val="ListParagraph"/>
        <w:numPr>
          <w:ilvl w:val="0"/>
          <w:numId w:val="2"/>
        </w:numPr>
        <w:spacing w:before="60" w:after="60"/>
      </w:pPr>
      <w:r>
        <w:rPr>
          <w:rFonts w:ascii="Arial" w:cs="Arial" w:eastAsia="Arial" w:hAnsi="Arial"/>
          <w:b w:val="false"/>
          <w:bCs w:val="false"/>
          <w:color w:val="1E2A16"/>
          <w:sz w:val="22"/>
          <w:szCs w:val="22"/>
        </w:rPr>
        <w:t xml:space="preserve">When is the optimal time to increase restrictions in order to prevent ICU saturation?</w:t>
      </w:r>
    </w:p>
    <w:p>
      <w:pPr>
        <w:pStyle w:val="ListParagraph"/>
        <w:numPr>
          <w:ilvl w:val="0"/>
          <w:numId w:val="2"/>
        </w:numPr>
        <w:spacing w:before="60" w:after="60"/>
      </w:pPr>
      <w:r>
        <w:rPr>
          <w:rFonts w:ascii="Arial" w:cs="Arial" w:eastAsia="Arial" w:hAnsi="Arial"/>
          <w:b w:val="false"/>
          <w:bCs w:val="false"/>
          <w:color w:val="1E2A16"/>
          <w:sz w:val="22"/>
          <w:szCs w:val="22"/>
        </w:rPr>
        <w:t xml:space="preserve">What will be the demand for critical human resources — ICU physicians, nurses, and ventilators?</w:t>
      </w:r>
    </w:p>
    <w:p>
      <w:pPr>
        <w:spacing w:before="80" w:after="80"/>
      </w:pPr>
      <w:r>
        <w:t xml:space="preserve"/>
      </w:r>
    </w:p>
    <w:p>
      <w:pPr>
        <w:spacing w:before="100" w:after="100"/>
        <w:jc w:val="both"/>
      </w:pPr>
      <w:r>
        <w:rPr>
          <w:rFonts w:ascii="Arial" w:cs="Arial" w:eastAsia="Arial" w:hAnsi="Arial"/>
          <w:color w:val="1E2A16"/>
          <w:sz w:val="22"/>
          <w:szCs w:val="22"/>
        </w:rPr>
        <w:t xml:space="preserve">These questions defined not only the model's technical architecture, but also its design philosophy: the tool had to be transparent, customisable, and operable by users with varying levels of technical expertise. As the development team noted in the published paper, the aim was not to predict the course of the epidemic with precision, but to provide decision-makers with a range of plausible scenarios according to policies at different stages of the epidemic.</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4. Approach and Methodology</w:t>
      </w:r>
    </w:p>
    <w:p>
      <w:pPr>
        <w:pStyle w:val="Heading2"/>
        <w:spacing w:before="240" w:after="120"/>
      </w:pPr>
      <w:r>
        <w:rPr>
          <w:rFonts w:ascii="Arial" w:cs="Arial" w:eastAsia="Arial" w:hAnsi="Arial"/>
          <w:b/>
          <w:bCs/>
          <w:color w:val="48553F"/>
          <w:sz w:val="26"/>
          <w:szCs w:val="26"/>
        </w:rPr>
        <w:t xml:space="preserve">4.1 The SEIR model</w:t>
      </w:r>
    </w:p>
    <w:p>
      <w:pPr>
        <w:spacing w:before="100" w:after="100"/>
        <w:jc w:val="both"/>
      </w:pPr>
      <w:r>
        <w:rPr>
          <w:rFonts w:ascii="Arial" w:cs="Arial" w:eastAsia="Arial" w:hAnsi="Arial"/>
          <w:color w:val="1E2A16"/>
          <w:sz w:val="22"/>
          <w:szCs w:val="22"/>
        </w:rPr>
        <w:t xml:space="preserve">The model is based on the SEIR compartmental framework, which divides the population into four states: Susceptible (S), Exposed (E), Infectious (I), and Recovered (R). This approach, widely used in the study of infectious disease transmission dynamics, allows for the projection of epidemic trajectories over extended periods using a deterministic system of differential equations.</w:t>
      </w:r>
    </w:p>
    <w:p>
      <w:pPr>
        <w:spacing w:before="100" w:after="100"/>
        <w:jc w:val="both"/>
      </w:pPr>
      <w:r>
        <w:rPr>
          <w:rFonts w:ascii="Arial" w:cs="Arial" w:eastAsia="Arial" w:hAnsi="Arial"/>
          <w:color w:val="1E2A16"/>
          <w:sz w:val="22"/>
          <w:szCs w:val="22"/>
        </w:rPr>
        <w:t xml:space="preserve">The choice of SEIR over more complex alternatives was deliberate and operationally motivated. A deterministic compartmental model offers transparency — users can inspect and understand every parameter — and flexibility — parameters can be adjusted to reflect local conditions without requiring access to granular individual-level data. As Santoro et al. noted, the model's open-source design means it can be customised for any population for which the necessary data is available, and executed freely on any computer.</w:t>
      </w:r>
    </w:p>
    <w:p>
      <w:pPr>
        <w:pStyle w:val="Heading2"/>
        <w:spacing w:before="240" w:after="120"/>
      </w:pPr>
      <w:r>
        <w:rPr>
          <w:rFonts w:ascii="Arial" w:cs="Arial" w:eastAsia="Arial" w:hAnsi="Arial"/>
          <w:b/>
          <w:bCs/>
          <w:color w:val="48553F"/>
          <w:sz w:val="26"/>
          <w:szCs w:val="26"/>
        </w:rPr>
        <w:t xml:space="preserve">4.2 Parameter estimation and data sources</w:t>
      </w:r>
    </w:p>
    <w:p>
      <w:pPr>
        <w:spacing w:before="100" w:after="100"/>
        <w:jc w:val="both"/>
      </w:pPr>
      <w:r>
        <w:rPr>
          <w:rFonts w:ascii="Arial" w:cs="Arial" w:eastAsia="Arial" w:hAnsi="Arial"/>
          <w:color w:val="1E2A16"/>
          <w:sz w:val="22"/>
          <w:szCs w:val="22"/>
        </w:rPr>
        <w:t xml:space="preserve">Epidemiological and clinical parameters were drawn from a living targeted rapid systematic review, updated fortnightly throughout the pandemic to incorporate new evidence as it emerged. The review covered Medline, Embase, Scopus, LILACS, Google Scholar, and preprint databases including medRxiv, bioRxiv, and ChinaXiv. Parameters were selected based on reproducibility, methodological quality, and applicability to Latin American contexts.</w:t>
      </w:r>
    </w:p>
    <w:p>
      <w:pPr>
        <w:spacing w:before="100" w:after="100"/>
        <w:jc w:val="both"/>
      </w:pPr>
      <w:r>
        <w:rPr>
          <w:rFonts w:ascii="Arial" w:cs="Arial" w:eastAsia="Arial" w:hAnsi="Arial"/>
          <w:color w:val="1E2A16"/>
          <w:sz w:val="22"/>
          <w:szCs w:val="22"/>
        </w:rPr>
        <w:t xml:space="preserve">Daily incidence and mortality data were sourced from the European Centre for Disease Prevention and Control. Health resource data — ICU beds, ventilators, physicians, and nurses — were obtained from government sources, national ministries of health, intensive care societies, and validated through consultation with in-country experts.</w:t>
      </w:r>
    </w:p>
    <w:p>
      <w:pPr>
        <w:spacing w:before="100" w:after="100"/>
        <w:jc w:val="both"/>
      </w:pPr>
      <w:r>
        <w:rPr>
          <w:rFonts w:ascii="Arial" w:cs="Arial" w:eastAsia="Arial" w:hAnsi="Arial"/>
          <w:color w:val="1E2A16"/>
          <w:sz w:val="22"/>
          <w:szCs w:val="22"/>
        </w:rPr>
        <w:t xml:space="preserve">A key methodological decision was to calibrate the model using mortality data rather than case counts. As the authors explain, mortality data is less sensitive to variation in testing strategies across countries, and thus provides a more objective baseline for estimating total infections through the Infection Fatality Rate (IFR).</w:t>
      </w:r>
    </w:p>
    <w:p>
      <w:pPr>
        <w:pStyle w:val="Heading2"/>
        <w:spacing w:before="240" w:after="120"/>
      </w:pPr>
      <w:r>
        <w:rPr>
          <w:rFonts w:ascii="Arial" w:cs="Arial" w:eastAsia="Arial" w:hAnsi="Arial"/>
          <w:b/>
          <w:bCs/>
          <w:color w:val="48553F"/>
          <w:sz w:val="26"/>
          <w:szCs w:val="26"/>
        </w:rPr>
        <w:t xml:space="preserve">4.3 Policy scenario modelling</w:t>
      </w:r>
    </w:p>
    <w:p>
      <w:pPr>
        <w:spacing w:before="100" w:after="100"/>
        <w:jc w:val="both"/>
      </w:pPr>
      <w:r>
        <w:rPr>
          <w:rFonts w:ascii="Arial" w:cs="Arial" w:eastAsia="Arial" w:hAnsi="Arial"/>
          <w:color w:val="1E2A16"/>
          <w:sz w:val="22"/>
          <w:szCs w:val="22"/>
        </w:rPr>
        <w:t xml:space="preserve">One of the model's defining features is its capacity to simulate the impact of different public health interventions through adjustments to the basic reproduction number (R0). The platform supports three modalities of scenario configuration: a constant R0 reflecting unchanged policies; an oscillating R0 representing intermittent tightening and relaxation of restrictions; and a triggered intervention model, where more restrictive policies are activated upon reaching a defined ICU occupancy threshold.</w:t>
      </w:r>
    </w:p>
    <w:p>
      <w:pPr>
        <w:spacing w:before="100" w:after="100"/>
        <w:jc w:val="both"/>
      </w:pPr>
      <w:r>
        <w:rPr>
          <w:rFonts w:ascii="Arial" w:cs="Arial" w:eastAsia="Arial" w:hAnsi="Arial"/>
          <w:color w:val="1E2A16"/>
          <w:sz w:val="22"/>
          <w:szCs w:val="22"/>
        </w:rPr>
        <w:t xml:space="preserve">To assist users in selecting appropriate R0 values corresponding to different policy choices, the platform incorporated the mitigation calculator developed by the University of Oxford, presented as a traffic-light scale ranging from minimal measures to full lockdown.</w:t>
      </w:r>
    </w:p>
    <w:p>
      <w:pPr>
        <w:pStyle w:val="Heading2"/>
        <w:spacing w:before="240" w:after="120"/>
      </w:pPr>
      <w:r>
        <w:rPr>
          <w:rFonts w:ascii="Arial" w:cs="Arial" w:eastAsia="Arial" w:hAnsi="Arial"/>
          <w:b/>
          <w:bCs/>
          <w:color w:val="48553F"/>
          <w:sz w:val="26"/>
          <w:szCs w:val="26"/>
        </w:rPr>
        <w:t xml:space="preserve">4.4 The knowledge-transfer session</w:t>
      </w:r>
    </w:p>
    <w:p>
      <w:pPr>
        <w:spacing w:before="100" w:after="100"/>
        <w:jc w:val="both"/>
      </w:pPr>
      <w:r>
        <w:rPr>
          <w:rFonts w:ascii="Arial" w:cs="Arial" w:eastAsia="Arial" w:hAnsi="Arial"/>
          <w:color w:val="1E2A16"/>
          <w:sz w:val="22"/>
          <w:szCs w:val="22"/>
        </w:rPr>
        <w:t xml:space="preserve">In preparation for the development of the PPT prototype, the Argentina Unit team held a video conference session with Adrián Santoro and other members of the original development team. The session served two purposes: to document the model's design decisions, known limitations, and lessons learnt from its operational use; and to discuss how the model could be adapted for an educational context with a global audience.</w:t>
      </w:r>
    </w:p>
    <w:p>
      <w:pPr>
        <w:spacing w:before="100" w:after="100"/>
        <w:jc w:val="both"/>
      </w:pPr>
      <w:r>
        <w:rPr>
          <w:rFonts w:ascii="Arial" w:cs="Arial" w:eastAsia="Arial" w:hAnsi="Arial"/>
          <w:color w:val="1E2A16"/>
          <w:sz w:val="22"/>
          <w:szCs w:val="22"/>
        </w:rPr>
        <w:t xml:space="preserve">A central theme of the discussion was the relationship between technical depth and usability under real-world conditions. Santoro described how the platform — what is now implemented in Bowie as the Advanced View — was built incrementally throughout the pandemic, responding to the evolving informational needs of health authorities. The interface, designed for technical analysts, provided powerful scenario-modelling capabilities but required substantial familiarity with epidemiological parameters to operate effectively.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F59342" w:sz="12"/>
              <w:bottom w:val="single" w:color="CCCCCC" w:sz="1"/>
              <w:right w:val="single" w:color="CCCCCC" w:sz="1"/>
            </w:tcBorders>
            <w:shd w:fill="F8F5F1" w:val="clear"/>
            <w:tcMar>
              <w:top w:type="dxa" w:w="120"/>
              <w:left w:type="dxa" w:w="200"/>
              <w:bottom w:type="dxa" w:w="120"/>
              <w:right w:type="dxa" w:w="200"/>
            </w:tcMar>
          </w:tcPr>
          <w:p>
            <w:pPr>
              <w:spacing w:before="60" w:after="60"/>
            </w:pPr>
            <w:r>
              <w:rPr>
                <w:rFonts w:ascii="Arial" w:cs="Arial" w:eastAsia="Arial" w:hAnsi="Arial"/>
                <w:i/>
                <w:iCs/>
                <w:color w:val="1E2A16"/>
                <w:sz w:val="22"/>
                <w:szCs w:val="22"/>
              </w:rPr>
              <w:t xml:space="preserve">"Decision-makers do not have time to adjust dozens of parameters under pressure. They need immediate visual impact — to see whether the system is heading towards saturation or not, and to understand the consequences of the decision they are about to make."</w:t>
            </w:r>
          </w:p>
          <w:p>
            <w:pPr>
              <w:spacing w:before="60" w:after="60"/>
            </w:pPr>
            <w:r>
              <w:rPr>
                <w:rFonts w:ascii="Arial" w:cs="Arial" w:eastAsia="Arial" w:hAnsi="Arial"/>
                <w:b/>
                <w:bCs/>
                <w:color w:val="48553F"/>
                <w:sz w:val="20"/>
                <w:szCs w:val="20"/>
              </w:rPr>
              <w:t xml:space="preserve">— Adrián Santoro, knowledge-transfer session, 2025</w:t>
            </w:r>
          </w:p>
        </w:tc>
      </w:tr>
    </w:tbl>
    <w:p>
      <w:pPr>
        <w:spacing w:before="80" w:after="80"/>
      </w:pPr>
      <w:r>
        <w:t xml:space="preserve"/>
      </w:r>
    </w:p>
    <w:p>
      <w:pPr>
        <w:spacing w:before="100" w:after="100"/>
        <w:jc w:val="both"/>
      </w:pPr>
      <w:r>
        <w:rPr>
          <w:rFonts w:ascii="Arial" w:cs="Arial" w:eastAsia="Arial" w:hAnsi="Arial"/>
          <w:color w:val="1E2A16"/>
          <w:sz w:val="22"/>
          <w:szCs w:val="22"/>
        </w:rPr>
        <w:t xml:space="preserve">This observation became the foundational design principle for the Simplified View — an extension developed specifically for the PPT prototype, not present in the original IECS platform. The Simplified View is designed to give decision-makers rapid, high-impact visual feedback without requiring interaction with the full parameter set.</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5. Results</w:t>
      </w:r>
    </w:p>
    <w:p>
      <w:pPr>
        <w:pStyle w:val="Heading2"/>
        <w:spacing w:before="240" w:after="120"/>
      </w:pPr>
      <w:r>
        <w:rPr>
          <w:rFonts w:ascii="Arial" w:cs="Arial" w:eastAsia="Arial" w:hAnsi="Arial"/>
          <w:b/>
          <w:bCs/>
          <w:color w:val="48553F"/>
          <w:sz w:val="26"/>
          <w:szCs w:val="26"/>
        </w:rPr>
        <w:t xml:space="preserve">5.1 The original platform</w:t>
      </w:r>
    </w:p>
    <w:p>
      <w:pPr>
        <w:spacing w:before="100" w:after="100"/>
        <w:jc w:val="both"/>
      </w:pPr>
      <w:r>
        <w:rPr>
          <w:rFonts w:ascii="Arial" w:cs="Arial" w:eastAsia="Arial" w:hAnsi="Arial"/>
          <w:color w:val="1E2A16"/>
          <w:sz w:val="22"/>
          <w:szCs w:val="22"/>
        </w:rPr>
        <w:t xml:space="preserve">The IECS platform was deployed publicly and used to inform national health policy in Argentina during the COVID-19 pandemic. It enabled health authorities to explore scenarios defined by different intervention strategies and to anticipate when ICU services would approach saturation — providing the lead time necessary to implement containment measures before critical thresholds were breached.</w:t>
      </w:r>
    </w:p>
    <w:p>
      <w:pPr>
        <w:spacing w:before="100" w:after="100"/>
        <w:jc w:val="both"/>
      </w:pPr>
      <w:r>
        <w:rPr>
          <w:rFonts w:ascii="Arial" w:cs="Arial" w:eastAsia="Arial" w:hAnsi="Arial"/>
          <w:color w:val="1E2A16"/>
          <w:sz w:val="22"/>
          <w:szCs w:val="22"/>
        </w:rPr>
        <w:t xml:space="preserve">The platform covered 26 Latin American and Caribbean countries, with Argentina serving as the principal illustrative case. Results included daily and cumulative projections of new infections and deaths, ICU bed occupancy and ventilator demand, and estimates of critical human resource requirements. Users could download a summary report of parameters, results, and visualisations for each scenario.</w:t>
      </w:r>
    </w:p>
    <w:p>
      <w:pPr>
        <w:spacing w:before="100" w:after="100"/>
        <w:jc w:val="both"/>
      </w:pPr>
      <w:r>
        <w:rPr>
          <w:rFonts w:ascii="Arial" w:cs="Arial" w:eastAsia="Arial" w:hAnsi="Arial"/>
          <w:color w:val="1E2A16"/>
          <w:sz w:val="22"/>
          <w:szCs w:val="22"/>
        </w:rPr>
        <w:t xml:space="preserve">The model was validated through a scientific advisory group comprising experts in health decision-making, infectious disease epidemiology, intensive care, and hospital management. Its development followed international modelling good practices as defined by the ISPOR-SMDM Modelling Good Research Practices Task Force.</w:t>
      </w:r>
    </w:p>
    <w:p>
      <w:pPr>
        <w:pStyle w:val="Heading2"/>
        <w:spacing w:before="240" w:after="120"/>
      </w:pPr>
      <w:r>
        <w:rPr>
          <w:rFonts w:ascii="Arial" w:cs="Arial" w:eastAsia="Arial" w:hAnsi="Arial"/>
          <w:b/>
          <w:bCs/>
          <w:color w:val="48553F"/>
          <w:sz w:val="26"/>
          <w:szCs w:val="26"/>
        </w:rPr>
        <w:t xml:space="preserve">5.2 Adoption for the Pandemic Preparedness Toolkit</w:t>
      </w:r>
    </w:p>
    <w:p>
      <w:pPr>
        <w:spacing w:before="100" w:after="100"/>
        <w:jc w:val="both"/>
      </w:pPr>
      <w:r>
        <w:rPr>
          <w:rFonts w:ascii="Arial" w:cs="Arial" w:eastAsia="Arial" w:hAnsi="Arial"/>
          <w:color w:val="1E2A16"/>
          <w:sz w:val="22"/>
          <w:szCs w:val="22"/>
        </w:rPr>
        <w:t xml:space="preserve">The decision to adopt the SEIR model as the technical foundation of the PPT prototype was grounded in three considerations. First, the model had demonstrated real-world validity — it had been used operationally during an actual pandemic, by a national government, under conditions of genuine urgency and uncertainty. Second, its open-source architecture was fully aligned with the PPT's requirement for a transparent, modifiable, and freely accessible tool. Third, the participation of Analía López and Maisa Havela — co-authors of the original paper and members of the PPT Argentina coordination team — ensured direct continuity of knowledge between the original development and the toolkit adaptation.</w:t>
      </w:r>
    </w:p>
    <w:p>
      <w:pPr>
        <w:spacing w:before="100" w:after="100"/>
        <w:jc w:val="both"/>
      </w:pPr>
      <w:r>
        <w:rPr>
          <w:rFonts w:ascii="Arial" w:cs="Arial" w:eastAsia="Arial" w:hAnsi="Arial"/>
          <w:color w:val="1E2A16"/>
          <w:sz w:val="22"/>
          <w:szCs w:val="22"/>
        </w:rPr>
        <w:t xml:space="preserve">The Bowie platform preserves the full technical architecture of the original IECS model, implementing it in a modernised, modular codebase. The Advanced View replicates the scenario-modelling capabilities of the original platform, including SEIR dynamics, resource pressure analysis, and policy intervention modelling. Two significant extensions were developed for the PPT context:</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Simplified View — a decision-maker interface providing high-impact visual indicators without requiring interaction with the full parameter set, directly responding to Santoro's observations about operational use.</w:t>
      </w:r>
    </w:p>
    <w:p>
      <w:pPr>
        <w:pStyle w:val="ListParagraph"/>
        <w:numPr>
          <w:ilvl w:val="0"/>
          <w:numId w:val="2"/>
        </w:numPr>
        <w:spacing w:before="60" w:after="60"/>
      </w:pPr>
      <w:r>
        <w:rPr>
          <w:rFonts w:ascii="Arial" w:cs="Arial" w:eastAsia="Arial" w:hAnsi="Arial"/>
          <w:b w:val="false"/>
          <w:bCs w:val="false"/>
          <w:color w:val="1E2A16"/>
          <w:sz w:val="22"/>
          <w:szCs w:val="22"/>
        </w:rPr>
        <w:t xml:space="preserve">Global adaptability — the architecture is designed for use across diverse national contexts, with configurable population parameters, resource thresholds, and dataset integration, enabling deployment in countries with varying data availability and technical capacity.</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6. Lessons Learnt</w:t>
      </w:r>
    </w:p>
    <w:p>
      <w:pPr>
        <w:pStyle w:val="Heading2"/>
        <w:spacing w:before="240" w:after="120"/>
      </w:pPr>
      <w:r>
        <w:rPr>
          <w:rFonts w:ascii="Arial" w:cs="Arial" w:eastAsia="Arial" w:hAnsi="Arial"/>
          <w:b/>
          <w:bCs/>
          <w:color w:val="48553F"/>
          <w:sz w:val="26"/>
          <w:szCs w:val="26"/>
        </w:rPr>
        <w:t xml:space="preserve">6.1 What worked well</w:t>
      </w:r>
    </w:p>
    <w:p>
      <w:pPr>
        <w:spacing w:before="100" w:after="100"/>
        <w:jc w:val="both"/>
      </w:pPr>
      <w:r>
        <w:rPr>
          <w:rFonts w:ascii="Arial" w:cs="Arial" w:eastAsia="Arial" w:hAnsi="Arial"/>
          <w:color w:val="1E2A16"/>
          <w:sz w:val="22"/>
          <w:szCs w:val="22"/>
        </w:rPr>
        <w:t xml:space="preserve">The SEIR framework proved to be the right choice for this context. Its transparency — every parameter is visible and interpretable — made it both trustworthy for decision-makers and pedagogically valuable for educational use. Its flexibility — the ability to customise parameters to local conditions — made it applicable across 26 countries with heterogeneous health systems, data quality, and policy contexts. And its open-source design ensured that it could be maintained, extended, and improved collaboratively over time.</w:t>
      </w:r>
    </w:p>
    <w:p>
      <w:pPr>
        <w:spacing w:before="100" w:after="100"/>
        <w:jc w:val="both"/>
      </w:pPr>
      <w:r>
        <w:rPr>
          <w:rFonts w:ascii="Arial" w:cs="Arial" w:eastAsia="Arial" w:hAnsi="Arial"/>
          <w:color w:val="1E2A16"/>
          <w:sz w:val="22"/>
          <w:szCs w:val="22"/>
        </w:rPr>
        <w:t xml:space="preserve">The living systematic review approach to parameter estimation was another clear success. By updating the evidence base fortnightly, the team ensured that the model reflected the best available knowledge at each point in the pandemic, rather than becoming outdated as new evidence emerged.</w:t>
      </w:r>
    </w:p>
    <w:p>
      <w:pPr>
        <w:pStyle w:val="Heading2"/>
        <w:spacing w:before="240" w:after="120"/>
      </w:pPr>
      <w:r>
        <w:rPr>
          <w:rFonts w:ascii="Arial" w:cs="Arial" w:eastAsia="Arial" w:hAnsi="Arial"/>
          <w:b/>
          <w:bCs/>
          <w:color w:val="48553F"/>
          <w:sz w:val="26"/>
          <w:szCs w:val="26"/>
        </w:rPr>
        <w:t xml:space="preserve">6.2 Challenges</w:t>
      </w:r>
    </w:p>
    <w:p>
      <w:pPr>
        <w:spacing w:before="100" w:after="100"/>
        <w:jc w:val="both"/>
      </w:pPr>
      <w:r>
        <w:rPr>
          <w:rFonts w:ascii="Arial" w:cs="Arial" w:eastAsia="Arial" w:hAnsi="Arial"/>
          <w:color w:val="1E2A16"/>
          <w:sz w:val="22"/>
          <w:szCs w:val="22"/>
        </w:rPr>
        <w:t xml:space="preserve">Data quality and completeness presented consistent challenges throughout the model's operational life. Mortality records varied in reliability across countries and sub-national regions, and testing strategies differed so markedly that case-based calibration was not feasible. The decision to calibrate on deaths rather than cases mitigated this problem but introduced its own uncertainty, given that IFR values carry considerable ranges of uncertainty.</w:t>
      </w:r>
    </w:p>
    <w:p>
      <w:pPr>
        <w:spacing w:before="100" w:after="100"/>
        <w:jc w:val="both"/>
      </w:pPr>
      <w:r>
        <w:rPr>
          <w:rFonts w:ascii="Arial" w:cs="Arial" w:eastAsia="Arial" w:hAnsi="Arial"/>
          <w:color w:val="1E2A16"/>
          <w:sz w:val="22"/>
          <w:szCs w:val="22"/>
        </w:rPr>
        <w:t xml:space="preserve">A structural limitation of the standard SEIR framework — acknowledged explicitly by Santoro et al. — is the assumption of homogeneous mixing across all population groups. This means that the model applies a uniform fatality rate regardless of demographic structure, which is particularly significant in contexts with ageing populations or high levels of comorbidity. Incorporating age-stratified compartments remained a planned enhancement at the time of publication.</w:t>
      </w:r>
    </w:p>
    <w:p>
      <w:pPr>
        <w:spacing w:before="100" w:after="100"/>
        <w:jc w:val="both"/>
      </w:pPr>
      <w:r>
        <w:rPr>
          <w:rFonts w:ascii="Arial" w:cs="Arial" w:eastAsia="Arial" w:hAnsi="Arial"/>
          <w:color w:val="1E2A16"/>
          <w:sz w:val="22"/>
          <w:szCs w:val="22"/>
        </w:rPr>
        <w:t xml:space="preserve">The knowledge-transfer session also surfaced a challenge that is less technical than institutional: the gap between what a model can do and what decision-makers can use under pressure. Technical interfaces designed for analysts are not appropriate for executives who must decide quickly, with limited time to engage with parameter controls. This insight, drawn directly from operational experience, directly shaped the design of the Simplified View in the PPT prototype.</w:t>
      </w:r>
    </w:p>
    <w:p>
      <w:pPr>
        <w:pStyle w:val="Heading2"/>
        <w:spacing w:before="240" w:after="120"/>
      </w:pPr>
      <w:r>
        <w:rPr>
          <w:rFonts w:ascii="Arial" w:cs="Arial" w:eastAsia="Arial" w:hAnsi="Arial"/>
          <w:b/>
          <w:bCs/>
          <w:color w:val="48553F"/>
          <w:sz w:val="26"/>
          <w:szCs w:val="26"/>
        </w:rPr>
        <w:t xml:space="preserve">6.3 Insights for future development</w:t>
      </w:r>
    </w:p>
    <w:p>
      <w:pPr>
        <w:spacing w:before="100" w:after="100"/>
        <w:jc w:val="both"/>
      </w:pPr>
      <w:r>
        <w:rPr>
          <w:rFonts w:ascii="Arial" w:cs="Arial" w:eastAsia="Arial" w:hAnsi="Arial"/>
          <w:color w:val="1E2A16"/>
          <w:sz w:val="22"/>
          <w:szCs w:val="22"/>
        </w:rPr>
        <w:t xml:space="preserve">The experience of the IECS model points to several principles that have guided the development of the PPT prototype and will continue to inform its evolution. Openness and transparency are not optional features — they are prerequisites for trust, adoption, and long-term maintenance. Flexibility must be designed in from the start, not added later. And the interface must be calibrated to the user, not to the analyst: different audiences require different entry points into the same underlying model.</w:t>
      </w:r>
    </w:p>
    <w:p>
      <w:pPr>
        <w:spacing w:before="100" w:after="100"/>
        <w:jc w:val="both"/>
      </w:pPr>
      <w:r>
        <w:rPr>
          <w:rFonts w:ascii="Arial" w:cs="Arial" w:eastAsia="Arial" w:hAnsi="Arial"/>
          <w:color w:val="1E2A16"/>
          <w:sz w:val="22"/>
          <w:szCs w:val="22"/>
        </w:rPr>
        <w:t xml:space="preserve">For the PPT context specifically, the global adaptability of the platform presents both an opportunity and a design challenge. The model must be configurable enough to reflect the epidemiological and resource realities of countries with very different health systems, while remaining simple enough to be used by teams with diverse technical capacities.</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7. Conclusions</w:t>
      </w:r>
    </w:p>
    <w:p>
      <w:pPr>
        <w:spacing w:before="100" w:after="100"/>
        <w:jc w:val="both"/>
      </w:pPr>
      <w:r>
        <w:rPr>
          <w:rFonts w:ascii="Arial" w:cs="Arial" w:eastAsia="Arial" w:hAnsi="Arial"/>
          <w:color w:val="1E2A16"/>
          <w:sz w:val="22"/>
          <w:szCs w:val="22"/>
        </w:rPr>
        <w:t xml:space="preserve">The SEIR model developed by Santoro et al. at IECS represents a rare example of an epidemiological tool that was built under genuine operational pressure, validated through real-world use, and designed with transparency and adaptability as core principles. Its adoption as the technical foundation of the PPT Argentina Unit's interactive dashboard is not simply a matter of technical convenience — it reflects a deliberate decision to build on evidence that has already demonstrated its value in practice.</w:t>
      </w:r>
    </w:p>
    <w:p>
      <w:pPr>
        <w:spacing w:before="100" w:after="100"/>
        <w:jc w:val="both"/>
      </w:pPr>
      <w:r>
        <w:rPr>
          <w:rFonts w:ascii="Arial" w:cs="Arial" w:eastAsia="Arial" w:hAnsi="Arial"/>
          <w:color w:val="1E2A16"/>
          <w:sz w:val="22"/>
          <w:szCs w:val="22"/>
        </w:rPr>
        <w:t xml:space="preserve">The journey from a pandemic-response tool to a global educational platform has required not only technical adaptation, but a deepening understanding of how different users engage with epidemiological models. The Simplified View, conceived in direct response to Santoro's reflections on operational use, exemplifies this learning: it is not a simplification of the science, but a reimagining of the interface through which decision-makers access it.</w:t>
      </w:r>
    </w:p>
    <w:p>
      <w:pPr>
        <w:spacing w:before="100" w:after="100"/>
        <w:jc w:val="both"/>
      </w:pPr>
      <w:r>
        <w:rPr>
          <w:rFonts w:ascii="Arial" w:cs="Arial" w:eastAsia="Arial" w:hAnsi="Arial"/>
          <w:color w:val="1E2A16"/>
          <w:sz w:val="22"/>
          <w:szCs w:val="22"/>
        </w:rPr>
        <w:t xml:space="preserve">As the PPT prototype moves towards its final submission, the principles embodied in the original IECS model — openness, flexibility, transparency, and user-centricity — remain the reference point against which design decisions are measured.</w:t>
      </w:r>
    </w:p>
    <w:p>
      <w:pPr>
        <w:spacing w:before="80" w:after="80"/>
      </w:pPr>
      <w:r>
        <w:t xml:space="preserve"/>
      </w:r>
    </w:p>
    <w:p>
      <w:pPr>
        <w:pBdr>
          <w:bottom w:val="single" w:color="324027" w:sz="6" w:space="1"/>
        </w:pBdr>
        <w:spacing w:before="200" w:after="200"/>
      </w:pPr>
      <w:r>
        <w:t xml:space="preserve"/>
      </w:r>
    </w:p>
    <w:p>
      <w:pPr>
        <w:pStyle w:val="Heading1"/>
        <w:spacing w:before="360" w:after="160"/>
      </w:pPr>
      <w:r>
        <w:rPr>
          <w:rFonts w:ascii="Arial" w:cs="Arial" w:eastAsia="Arial" w:hAnsi="Arial"/>
          <w:b/>
          <w:bCs/>
          <w:color w:val="324027"/>
          <w:sz w:val="30"/>
          <w:szCs w:val="30"/>
        </w:rPr>
        <w:t xml:space="preserve">References</w:t>
      </w:r>
    </w:p>
    <w:p>
      <w:pPr>
        <w:spacing w:before="100" w:after="100"/>
        <w:jc w:val="both"/>
      </w:pPr>
      <w:r>
        <w:rPr>
          <w:rFonts w:ascii="Arial" w:cs="Arial" w:eastAsia="Arial" w:hAnsi="Arial"/>
          <w:color w:val="1E2A16"/>
          <w:sz w:val="22"/>
          <w:szCs w:val="22"/>
        </w:rPr>
        <w:t xml:space="preserve">1. Santoro A, López Osornio A, Williams I, Wachs M, Cejas C, Havela M, et al. Development and application of a dynamic transmission model of health systems' preparedness and response to COVID-19 in twenty-six Latin American and Caribbean countries. PLOS Glob Public Health. 2022;2(3):e0000186. https://doi.org/10.1371/journal.pgph.0000186</w:t>
      </w:r>
    </w:p>
    <w:p>
      <w:pPr>
        <w:spacing w:before="100" w:after="100"/>
        <w:jc w:val="both"/>
      </w:pPr>
      <w:r>
        <w:rPr>
          <w:rFonts w:ascii="Arial" w:cs="Arial" w:eastAsia="Arial" w:hAnsi="Arial"/>
          <w:color w:val="1E2A16"/>
          <w:sz w:val="22"/>
          <w:szCs w:val="22"/>
        </w:rPr>
        <w:t xml:space="preserve">2. Argento F, Rodriguez Cairoli F, Perelli L, Augustovski F, Pichon-Riviere A, Bardach A. Parámetros Esenciales para utilizar en modelos epidemiológicos de COVID-19 en Argentina: una revisión rápida. 2021;13:2.</w:t>
      </w:r>
    </w:p>
    <w:p>
      <w:pPr>
        <w:spacing w:before="100" w:after="100"/>
        <w:jc w:val="both"/>
      </w:pPr>
      <w:r>
        <w:rPr>
          <w:rFonts w:ascii="Arial" w:cs="Arial" w:eastAsia="Arial" w:hAnsi="Arial"/>
          <w:color w:val="1E2A16"/>
          <w:sz w:val="22"/>
          <w:szCs w:val="22"/>
        </w:rPr>
        <w:t xml:space="preserve">3. Caro J, Briggs A, Siebert U, Kuntz K. Modeling good research practices — overview: a report of the ISPOR-SMDM Modeling Good Research Practices Task Force–1. Medical Decision Making. 2012;32(5):667–677. https://doi.org/10.1177/0272989X12454577</w:t>
      </w:r>
    </w:p>
    <w:p>
      <w:pPr>
        <w:spacing w:before="100" w:after="100"/>
        <w:jc w:val="both"/>
      </w:pPr>
      <w:r>
        <w:rPr>
          <w:rFonts w:ascii="Arial" w:cs="Arial" w:eastAsia="Arial" w:hAnsi="Arial"/>
          <w:color w:val="1E2A16"/>
          <w:sz w:val="22"/>
          <w:szCs w:val="22"/>
        </w:rPr>
        <w:t xml:space="preserve">4. Pitman R, Fisman D, Zaric G, Postma M, Kretzschmar M, Edmunds J, et al. Dynamic transmission modeling: a report of the ISPOR-SMDM modeling good research practices task force-5. Value in Health. 2012;15(6):828–834. https://doi.org/10.1016/j.jval.2012.06.011</w:t>
      </w:r>
    </w:p>
    <w:p>
      <w:pPr>
        <w:spacing w:before="100" w:after="100"/>
        <w:jc w:val="both"/>
      </w:pPr>
      <w:r>
        <w:rPr>
          <w:rFonts w:ascii="Arial" w:cs="Arial" w:eastAsia="Arial" w:hAnsi="Arial"/>
          <w:color w:val="1E2A16"/>
          <w:sz w:val="22"/>
          <w:szCs w:val="22"/>
        </w:rPr>
        <w:t xml:space="preserve">5. European Centre for Disease Prevention and Control. Geographic distribution worldwide. 2020. Available from: https://www.ecdc.europa.eu</w:t>
      </w:r>
    </w:p>
    <w:p>
      <w:pPr>
        <w:spacing w:before="100" w:after="100"/>
        <w:jc w:val="both"/>
      </w:pPr>
      <w:r>
        <w:rPr>
          <w:rFonts w:ascii="Arial" w:cs="Arial" w:eastAsia="Arial" w:hAnsi="Arial"/>
          <w:color w:val="1E2A16"/>
          <w:sz w:val="22"/>
          <w:szCs w:val="22"/>
        </w:rPr>
        <w:t xml:space="preserve">6. R Core Team. R: A language and environment for statistical computing. R Foundation for Statistical Computing. 2020. Available from: https://www.R-project.org/</w:t>
      </w:r>
    </w:p>
    <w:p>
      <w:pPr>
        <w:spacing w:before="100" w:after="100"/>
        <w:jc w:val="both"/>
      </w:pPr>
      <w:r>
        <w:rPr>
          <w:rFonts w:ascii="Arial" w:cs="Arial" w:eastAsia="Arial" w:hAnsi="Arial"/>
          <w:color w:val="1E2A16"/>
          <w:sz w:val="22"/>
          <w:szCs w:val="22"/>
        </w:rPr>
        <w:t xml:space="preserve">7. Chang W, Cheng J, Allaire J, Sievert C, Schloerke B, Xie Y, et al. shiny: Web Application Framework for R. R package version 1.11.1. 2024. Available from: https://CRAN.R-project.org/package=shiny</w:t>
      </w:r>
    </w:p>
    <w:p>
      <w:pPr>
        <w:spacing w:before="80" w:after="80"/>
      </w:pPr>
      <w:r>
        <w:t xml:space="preserve"/>
      </w:r>
    </w:p>
    <w:p>
      <w:pPr>
        <w:pBdr>
          <w:bottom w:val="single" w:color="324027" w:sz="6" w:space="1"/>
        </w:pBdr>
        <w:spacing w:before="200" w:after="200"/>
      </w:pPr>
      <w:r>
        <w:t xml:space="preserve"/>
      </w:r>
    </w:p>
    <w:p>
      <w:pPr>
        <w:spacing w:before="160" w:after="80"/>
      </w:pPr>
      <w:r>
        <w:rPr>
          <w:rFonts w:ascii="Arial" w:cs="Arial" w:eastAsia="Arial" w:hAnsi="Arial"/>
          <w:i/>
          <w:iCs/>
          <w:color w:val="888888"/>
          <w:sz w:val="18"/>
          <w:szCs w:val="18"/>
        </w:rPr>
        <w:t xml:space="preserve">Note to reviewers: This document is a draft submitted for the three-month review. The case study is substantially complete. The quote attributed to Adrián Santoro is a reconstruction based on the recollections of PPT team members who attended the knowledge-transfer session; the original session recording is being sought for verification. Additional detail on the knowledge-transfer session may be incorporated in the final version.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24027" w:sz="4" w:space="1"/>
      </w:pBdr>
      <w:tabs>
        <w:tab w:val="right" w:pos="9026"/>
      </w:tabs>
      <w:spacing w:before="120"/>
    </w:pPr>
    <w:r>
      <w:rPr>
        <w:rFonts w:ascii="Arial" w:cs="Arial" w:eastAsia="Arial" w:hAnsi="Arial"/>
        <w:color w:val="48553F"/>
        <w:sz w:val="18"/>
        <w:szCs w:val="18"/>
      </w:rPr>
      <w:t xml:space="preserve">CEMIC · Funded by Wellcome · March 2026</w:t>
    </w:r>
    <w:r>
      <w:rPr>
        <w:rFonts w:ascii="Arial" w:cs="Arial" w:eastAsia="Arial" w:hAnsi="Arial"/>
        <w:sz w:val="18"/>
        <w:szCs w:val="18"/>
      </w:rPr>
      <w:t xml:space="preserve">	</w:t>
    </w:r>
    <w:r>
      <w:rPr>
        <w:rFonts w:ascii="Arial" w:cs="Arial" w:eastAsia="Arial" w:hAnsi="Arial"/>
        <w:color w:val="AAAAAA"/>
        <w:sz w:val="18"/>
        <w:szCs w:val="18"/>
      </w:rPr>
      <w:t xml:space="preserve">Page </w:t>
    </w:r>
    <w:fldSimple w:instr="PAGE">
      <w:r>
        <w:rPr>
          <w:rFonts w:ascii="Arial" w:cs="Arial" w:eastAsia="Arial" w:hAnsi="Arial"/>
          <w:color w:val="AAAAA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24027" w:sz="4" w:space="1"/>
      </w:pBdr>
      <w:spacing w:after="120"/>
    </w:pPr>
    <w:r>
      <w:rPr>
        <w:rFonts w:ascii="Arial" w:cs="Arial" w:eastAsia="Arial" w:hAnsi="Arial"/>
        <w:color w:val="48553F"/>
        <w:sz w:val="18"/>
        <w:szCs w:val="18"/>
      </w:rPr>
      <w:t xml:space="preserve">Pandemic Preparedness Toolkit — Argentina Unit · WP5</w:t>
    </w:r>
    <w:r>
      <w:rPr>
        <w:rFonts w:ascii="Arial" w:cs="Arial" w:eastAsia="Arial" w:hAnsi="Arial"/>
        <w:color w:val="AAAAAA"/>
        <w:sz w:val="18"/>
        <w:szCs w:val="18"/>
      </w:rPr>
      <w:t xml:space="preserve">   |   </w:t>
    </w:r>
    <w:r>
      <w:rPr>
        <w:rFonts w:ascii="Arial" w:cs="Arial" w:eastAsia="Arial" w:hAnsi="Arial"/>
        <w:b/>
        <w:bCs/>
        <w:color w:val="324027"/>
        <w:sz w:val="18"/>
        <w:szCs w:val="18"/>
      </w:rPr>
      <w:t xml:space="preserve">Product 1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324027"/>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48553F"/>
      <w:sz w:val="26"/>
      <w:szCs w:val="26"/>
    </w:rPr>
  </w:style>
  <w:style w:type="paragraph" w:styleId="Heading3">
    <w:name w:val="Heading 3"/>
    <w:basedOn w:val="Normal"/>
    <w:next w:val="Normal"/>
    <w:qFormat/>
    <w:pPr>
      <w:spacing w:before="180" w:after="80"/>
      <w:outlineLvl w:val="2"/>
    </w:pPr>
    <w:rPr>
      <w:rFonts w:ascii="Arial" w:cs="Arial" w:eastAsia="Arial" w:hAnsi="Arial"/>
      <w:b/>
      <w:bCs/>
      <w:i/>
      <w:iCs/>
      <w:color w:val="48553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2026-03-26T02:12:25.096Z</dcterms:created>
  <dcterms:modified xsi:type="dcterms:W3CDTF">2026-03-26T02:12:25.097Z</dcterms:modified>
</cp:coreProperties>
</file>

<file path=docProps/custom.xml><?xml version="1.0" encoding="utf-8"?>
<Properties xmlns="http://schemas.openxmlformats.org/officeDocument/2006/custom-properties" xmlns:vt="http://schemas.openxmlformats.org/officeDocument/2006/docPropsVTypes"/>
</file>