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olor w:val="48553F"/>
          <w:sz w:val="20"/>
          <w:szCs w:val="20"/>
        </w:rPr>
        <w:t xml:space="preserve">Product 3b — User Guide</w:t>
      </w:r>
    </w:p>
    <w:p>
      <w:pPr>
        <w:spacing w:before="0" w:after="120"/>
      </w:pPr>
      <w:r>
        <w:rPr>
          <w:rFonts w:ascii="Arial" w:cs="Arial" w:eastAsia="Arial" w:hAnsi="Arial"/>
          <w:b/>
          <w:bCs/>
          <w:color w:val="324027"/>
          <w:sz w:val="36"/>
          <w:szCs w:val="36"/>
        </w:rPr>
        <w:t xml:space="preserve">SEIR Epidemiological Dashboard</w:t>
      </w:r>
    </w:p>
    <w:p>
      <w:pPr>
        <w:spacing w:before="0" w:after="80"/>
      </w:pPr>
      <w:r>
        <w:rPr>
          <w:rFonts w:ascii="Arial" w:cs="Arial" w:eastAsia="Arial" w:hAnsi="Arial"/>
          <w:i/>
          <w:iCs/>
          <w:color w:val="48553F"/>
          <w:sz w:val="22"/>
          <w:szCs w:val="22"/>
        </w:rPr>
        <w:t xml:space="preserve">Pandemic Preparedness Toolkit · Argentina Unit · Work Package 5</w:t>
      </w:r>
    </w:p>
    <w:p>
      <w:pPr>
        <w:pBdr>
          <w:bottom w:val="single" w:color="324027" w:sz="6" w:space="1"/>
        </w:pBdr>
        <w:spacing w:before="20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Version</w:t>
            </w:r>
          </w:p>
        </w:tc>
        <w:tc>
          <w:tcPr>
            <w:tcW w:type="dxa" w:w="6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Draft — branch review/three-month-2026-03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Date</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March 2026</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Author</w:t>
            </w:r>
          </w:p>
        </w:tc>
        <w:tc>
          <w:tcPr>
            <w:tcW w:type="dxa" w:w="6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Cristian Paez</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Organisation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CEMIC</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Funded by</w:t>
            </w:r>
          </w:p>
        </w:tc>
        <w:tc>
          <w:tcPr>
            <w:tcW w:type="dxa" w:w="6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Wellcome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Platform</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https://cpaez.shinyapps.io/bowie-seir/</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Audience</w:t>
            </w:r>
          </w:p>
        </w:tc>
        <w:tc>
          <w:tcPr>
            <w:tcW w:type="dxa" w:w="6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Public health officials, epidemiologists, researchers, policy-makers, and academic users</w:t>
            </w:r>
          </w:p>
        </w:tc>
      </w:tr>
    </w:tbl>
    <w:p>
      <w:pPr>
        <w:spacing w:before="80" w:after="80"/>
      </w:pPr>
      <w:r>
        <w:t xml:space="preserve"/>
      </w:r>
    </w:p>
    <w:p>
      <w:pPr>
        <w:pBdr>
          <w:bottom w:val="single" w:color="324027" w:sz="6" w:space="1"/>
        </w:pBdr>
        <w:spacing w:before="20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8553F" w:sz="8"/>
              <w:left w:val="single" w:color="CCCCCC" w:sz="1"/>
              <w:bottom w:val="single" w:color="CCCCCC" w:sz="1"/>
              <w:right w:val="single" w:color="CCCCCC" w:sz="1"/>
            </w:tcBorders>
            <w:shd w:fill="F8F5F1" w:val="clear"/>
            <w:tcMar>
              <w:top w:type="dxa" w:w="100"/>
              <w:left w:type="dxa" w:w="160"/>
              <w:bottom w:type="dxa" w:w="60"/>
              <w:right w:type="dxa" w:w="160"/>
            </w:tcMar>
          </w:tcPr>
          <w:p>
            <w:r>
              <w:rPr>
                <w:rFonts w:ascii="Arial" w:cs="Arial" w:eastAsia="Arial" w:hAnsi="Arial"/>
                <w:b/>
                <w:bCs/>
                <w:color w:val="48553F"/>
                <w:sz w:val="20"/>
                <w:szCs w:val="20"/>
              </w:rPr>
              <w:t xml:space="preserve">Scope of this guide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This guide describes the SEIR Epidemiological Dashboard as it stands at the three-month review stage (March 2026), corresponding to branch review/three-month-2026-03 of the project repository. It covers the features that are fully implemented and available in the current deployment. The final release of the platform will include additional features as specified in the Terms of Reference for Product 2 — including external data connectivity, a sociodemographic data layer, and an interactive presentation with practical exercises. A revised and complete User Guide will accompany the final submission. There is no benefit in documenting features that are still under development in detail at this stage, as those sections would require complete revision before the final release.</w:t>
            </w:r>
          </w:p>
        </w:tc>
      </w:tr>
    </w:tbl>
    <w:p>
      <w:pPr>
        <w:spacing w:before="80" w:after="80"/>
      </w:pPr>
      <w:r>
        <w:t xml:space="preserve"/>
      </w:r>
    </w:p>
    <w:p>
      <w:pPr>
        <w:pBdr>
          <w:bottom w:val="single" w:color="324027" w:sz="6" w:space="1"/>
        </w:pBdr>
        <w:spacing w:before="200" w:after="200"/>
      </w:pPr>
      <w:r>
        <w:t xml:space="preserve"/>
      </w:r>
    </w:p>
    <w:p>
      <w:pPr>
        <w:pStyle w:val="Heading1"/>
        <w:spacing w:before="360" w:after="160"/>
      </w:pPr>
      <w:r>
        <w:rPr>
          <w:rFonts w:ascii="Arial" w:cs="Arial" w:eastAsia="Arial" w:hAnsi="Arial"/>
          <w:b/>
          <w:bCs/>
          <w:color w:val="324027"/>
          <w:sz w:val="30"/>
          <w:szCs w:val="30"/>
        </w:rPr>
        <w:t xml:space="preserve">1. Introduction</w:t>
      </w:r>
    </w:p>
    <w:p>
      <w:pPr>
        <w:spacing w:before="100" w:after="100"/>
        <w:jc w:val="both"/>
      </w:pPr>
      <w:r>
        <w:rPr>
          <w:rFonts w:ascii="Arial" w:cs="Arial" w:eastAsia="Arial" w:hAnsi="Arial"/>
          <w:color w:val="1E2A16"/>
          <w:sz w:val="22"/>
          <w:szCs w:val="22"/>
        </w:rPr>
        <w:t xml:space="preserve">The SEIR Epidemiological Dashboard is an interactive web platform for infectious disease scenario simulation. It allows users to explore the dynamics of an epidemic under different epidemiological conditions and public health interventions, and to assess the pressure that a given scenario would place on healthcare resources.</w:t>
      </w:r>
    </w:p>
    <w:p>
      <w:pPr>
        <w:spacing w:before="100" w:after="100"/>
        <w:jc w:val="both"/>
      </w:pPr>
      <w:r>
        <w:rPr>
          <w:rFonts w:ascii="Arial" w:cs="Arial" w:eastAsia="Arial" w:hAnsi="Arial"/>
          <w:color w:val="1E2A16"/>
          <w:sz w:val="22"/>
          <w:szCs w:val="22"/>
        </w:rPr>
        <w:t xml:space="preserve">The platform is built on a Susceptible-Exposed-Infectious-Recovered (SEIR) compartmental model, originally developed by the Institute for Clinical Effectiveness and Health Policy (IECS) in Argentina and used to inform national health policy during the COVID-19 pandemic. For the Pandemic Preparedness Toolkit (PPT), this model has been adapted into a modular, open-source educational platform designed for use across diverse public health contexts worldwide.</w:t>
      </w:r>
    </w:p>
    <w:p>
      <w:pPr>
        <w:spacing w:before="100" w:after="100"/>
        <w:jc w:val="both"/>
      </w:pPr>
      <w:r>
        <w:rPr>
          <w:rFonts w:ascii="Arial" w:cs="Arial" w:eastAsia="Arial" w:hAnsi="Arial"/>
          <w:color w:val="1E2A16"/>
          <w:sz w:val="22"/>
          <w:szCs w:val="22"/>
        </w:rPr>
        <w:t xml:space="preserve">The dashboard offers two interfaces tailored to different user profiles. The Simplified View provides three at-a-glance alarm indicators for decision-makers who need rapid situational awareness. The Advanced View provides full parameter control for technical users who need to explore detailed scenario projections.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Access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The platform is publicly accessible at: https://cpaez.shinyapps.io/bowie-seir/ — no installation or login is required.</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2. Who Is This Guide For?</w:t>
      </w:r>
    </w:p>
    <w:p>
      <w:pPr>
        <w:spacing w:before="100" w:after="100"/>
        <w:jc w:val="both"/>
      </w:pPr>
      <w:r>
        <w:rPr>
          <w:rFonts w:ascii="Arial" w:cs="Arial" w:eastAsia="Arial" w:hAnsi="Arial"/>
          <w:color w:val="1E2A16"/>
          <w:sz w:val="22"/>
          <w:szCs w:val="22"/>
        </w:rPr>
        <w:t xml:space="preserve">The dashboard is designed for users with a range of technical backgrounds. You do not need to understand the mathematics of the SEIR model to use the platform effectively — the interface is designed to make the results interpretable without prior modelling experience.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User profile</w:t>
            </w:r>
          </w:p>
        </w:tc>
        <w:tc>
          <w:tcPr>
            <w:tcW w:type="dxa" w:w="26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Recommended view</w:t>
            </w:r>
          </w:p>
        </w:tc>
        <w:tc>
          <w:tcPr>
            <w:tcW w:type="dxa" w:w="38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Public health officials and policy-makers</w:t>
            </w:r>
          </w:p>
        </w:tc>
        <w:tc>
          <w:tcPr>
            <w:tcW w:type="dxa" w:w="2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Simplified View</w:t>
            </w:r>
          </w:p>
        </w:tc>
        <w:tc>
          <w:tcPr>
            <w:tcW w:type="dxa" w:w="3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Rapid situational assessment and intervention trigger decisions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Epidemiologists and researchers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Advanced View</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Detailed scenario exploration and parameter sensitivity analysis</w:t>
            </w:r>
          </w:p>
        </w:tc>
      </w:tr>
      <w:tr>
        <w:tc>
          <w:tcPr>
            <w:tcW w:type="dxa" w:w="2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Healthcare resource managers</w:t>
            </w:r>
          </w:p>
        </w:tc>
        <w:tc>
          <w:tcPr>
            <w:tcW w:type="dxa" w:w="2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Advanced View — Resource Pressure tab</w:t>
            </w:r>
          </w:p>
        </w:tc>
        <w:tc>
          <w:tcPr>
            <w:tcW w:type="dxa" w:w="3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ICU and ventilator demand projections under different scenarios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Academic users and students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Both views</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Learning and demonstrating epidemiological modelling concepts</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3. Getting Started</w:t>
      </w:r>
    </w:p>
    <w:p>
      <w:pPr>
        <w:pStyle w:val="Heading2"/>
        <w:spacing w:before="240" w:after="120"/>
      </w:pPr>
      <w:r>
        <w:rPr>
          <w:rFonts w:ascii="Arial" w:cs="Arial" w:eastAsia="Arial" w:hAnsi="Arial"/>
          <w:b/>
          <w:bCs/>
          <w:color w:val="48553F"/>
          <w:sz w:val="26"/>
          <w:szCs w:val="26"/>
        </w:rPr>
        <w:t xml:space="preserve">3.1 Accessing the platform</w:t>
      </w:r>
    </w:p>
    <w:p>
      <w:pPr>
        <w:spacing w:before="100" w:after="100"/>
        <w:jc w:val="both"/>
      </w:pPr>
      <w:r>
        <w:rPr>
          <w:rFonts w:ascii="Arial" w:cs="Arial" w:eastAsia="Arial" w:hAnsi="Arial"/>
          <w:color w:val="1E2A16"/>
          <w:sz w:val="22"/>
          <w:szCs w:val="22"/>
        </w:rPr>
        <w:t xml:space="preserve">Open a web browser and navigate to https://cpaez.shinyapps.io/bowie-seir/. The platform works on desktop and laptop computers. No installation, account, or login is required.</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3.2 The entry screen</w:t>
      </w:r>
    </w:p>
    <w:p>
      <w:pPr>
        <w:spacing w:before="100" w:after="100"/>
        <w:jc w:val="both"/>
      </w:pPr>
      <w:r>
        <w:rPr>
          <w:rFonts w:ascii="Arial" w:cs="Arial" w:eastAsia="Arial" w:hAnsi="Arial"/>
          <w:color w:val="1E2A16"/>
          <w:sz w:val="22"/>
          <w:szCs w:val="22"/>
        </w:rPr>
        <w:t xml:space="preserve">When the platform loads, you will see the entry screen. This screen asks you to select a dataset before proceeding. Two options are available:</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Simulated (mock) — a synthetic dataset generated from default epidemiological parameters. Use this option to explore the model freely without reference to any specific historical context.</w:t>
      </w:r>
    </w:p>
    <w:p>
      <w:pPr>
        <w:pStyle w:val="ListParagraph"/>
        <w:numPr>
          <w:ilvl w:val="0"/>
          <w:numId w:val="2"/>
        </w:numPr>
        <w:spacing w:before="60" w:after="60"/>
      </w:pPr>
      <w:r>
        <w:rPr>
          <w:rFonts w:ascii="Arial" w:cs="Arial" w:eastAsia="Arial" w:hAnsi="Arial"/>
          <w:b w:val="false"/>
          <w:bCs w:val="false"/>
          <w:color w:val="1E2A16"/>
          <w:sz w:val="22"/>
          <w:szCs w:val="22"/>
        </w:rPr>
        <w:t xml:space="preserve">IECS / Santoro — real COVID-19 epidemiological and resource parameters for Argentina, derived from the IECS model used during the pandemic. Use this option to work with empirically grounded default values.</w:t>
      </w:r>
    </w:p>
    <w:p>
      <w:pPr>
        <w:spacing w:before="80" w:after="80"/>
      </w:pPr>
      <w:r>
        <w:t xml:space="preserve"/>
      </w:r>
    </w:p>
    <w:p>
      <w:pPr>
        <w:spacing w:before="100" w:after="100"/>
        <w:jc w:val="both"/>
      </w:pPr>
      <w:r>
        <w:rPr>
          <w:rFonts w:ascii="Arial" w:cs="Arial" w:eastAsia="Arial" w:hAnsi="Arial"/>
          <w:color w:val="1E2A16"/>
          <w:sz w:val="22"/>
          <w:szCs w:val="22"/>
        </w:rPr>
        <w:t xml:space="preserve">Select your preferred dataset and click Load dataset. A status indicator will confirm when the data has been loaded successfully. You will then be navigated automatically to the Advanced View.</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Tip</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If you are using the platform for the first time or for educational purposes, start with the Simulated (mock) dataset. It allows you to explore the model's behaviour freely. The IECS / Santoro dataset is more appropriate when you want results grounded in real Argentine epidemiological parameters.</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3.3 Navigation</w:t>
      </w:r>
    </w:p>
    <w:p>
      <w:pPr>
        <w:spacing w:before="100" w:after="100"/>
        <w:jc w:val="both"/>
      </w:pPr>
      <w:r>
        <w:rPr>
          <w:rFonts w:ascii="Arial" w:cs="Arial" w:eastAsia="Arial" w:hAnsi="Arial"/>
          <w:color w:val="1E2A16"/>
          <w:sz w:val="22"/>
          <w:szCs w:val="22"/>
        </w:rPr>
        <w:t xml:space="preserve">Once a dataset is loaded, the top navigation bar provides access to the two main views of the platform:</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Simple — the Simplified View, designed for decision-makers.</w:t>
      </w:r>
    </w:p>
    <w:p>
      <w:pPr>
        <w:pStyle w:val="ListParagraph"/>
        <w:numPr>
          <w:ilvl w:val="0"/>
          <w:numId w:val="2"/>
        </w:numPr>
        <w:spacing w:before="60" w:after="60"/>
      </w:pPr>
      <w:r>
        <w:rPr>
          <w:rFonts w:ascii="Arial" w:cs="Arial" w:eastAsia="Arial" w:hAnsi="Arial"/>
          <w:b w:val="false"/>
          <w:bCs w:val="false"/>
          <w:color w:val="1E2A16"/>
          <w:sz w:val="22"/>
          <w:szCs w:val="22"/>
        </w:rPr>
        <w:t xml:space="preserve">Advanced — the Advanced View, designed for technical users.</w:t>
      </w:r>
    </w:p>
    <w:p>
      <w:pPr>
        <w:spacing w:before="80" w:after="80"/>
      </w:pPr>
      <w:r>
        <w:t xml:space="preserve"/>
      </w:r>
    </w:p>
    <w:p>
      <w:pPr>
        <w:spacing w:before="100" w:after="100"/>
        <w:jc w:val="both"/>
      </w:pPr>
      <w:r>
        <w:rPr>
          <w:rFonts w:ascii="Arial" w:cs="Arial" w:eastAsia="Arial" w:hAnsi="Arial"/>
          <w:color w:val="1E2A16"/>
          <w:sz w:val="22"/>
          <w:szCs w:val="22"/>
        </w:rPr>
        <w:t xml:space="preserve">The navigation bar also displays a dataset indicator showing which dataset is currently loaded. You can return to the entry screen at any time by clicking Home.</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4. Simplified View</w:t>
      </w:r>
    </w:p>
    <w:p>
      <w:pPr>
        <w:spacing w:before="100" w:after="100"/>
        <w:jc w:val="both"/>
      </w:pPr>
      <w:r>
        <w:rPr>
          <w:rFonts w:ascii="Arial" w:cs="Arial" w:eastAsia="Arial" w:hAnsi="Arial"/>
          <w:color w:val="1E2A16"/>
          <w:sz w:val="22"/>
          <w:szCs w:val="22"/>
        </w:rPr>
        <w:t xml:space="preserve">The Simplified View is designed for public health officials and decision-makers who need immediate situational awareness without engaging with detailed parameter controls. It presents three Key Performance Indicators (KPIs), each with a geometric alarm indicator that communicates the current state of the epidemic at a glance.</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4.1 Alarm indicators</w:t>
      </w:r>
    </w:p>
    <w:p>
      <w:pPr>
        <w:spacing w:before="100" w:after="100"/>
        <w:jc w:val="both"/>
      </w:pPr>
      <w:r>
        <w:rPr>
          <w:rFonts w:ascii="Arial" w:cs="Arial" w:eastAsia="Arial" w:hAnsi="Arial"/>
          <w:color w:val="1E2A16"/>
          <w:sz w:val="22"/>
          <w:szCs w:val="22"/>
        </w:rPr>
        <w:t xml:space="preserve">Each KPI card displays a geometric shape whose colour and form indicate the current alarm state. The alarm system uses three states: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026"/>
      </w:tblGrid>
      <w:tr>
        <w:trPr>
          <w:tblHeader/>
        </w:trPr>
        <w:tc>
          <w:tcPr>
            <w:tcW w:type="dxa" w:w="16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2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4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Circle</w:t>
            </w:r>
          </w:p>
        </w:tc>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Sea green (#3EA27F)</w:t>
            </w:r>
          </w:p>
        </w:tc>
        <w:tc>
          <w:tcPr>
            <w:tcW w:type="dxa" w:w="2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Controlled</w:t>
            </w:r>
          </w:p>
        </w:tc>
        <w:tc>
          <w:tcPr>
            <w:tcW w:type="dxa" w:w="3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Situation within safe thresholds — no immediate action required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Triangle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Orange (#F59342)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Warning</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Situation approaching a threshold — monitor closely and prepare contingency measures</w:t>
            </w:r>
          </w:p>
        </w:tc>
      </w:tr>
      <w:tr>
        <w:tc>
          <w:tcPr>
            <w:tcW w:type="dxa" w:w="1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Square</w:t>
            </w:r>
          </w:p>
        </w:tc>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Dark red (#752111)</w:t>
            </w:r>
          </w:p>
        </w:tc>
        <w:tc>
          <w:tcPr>
            <w:tcW w:type="dxa" w:w="2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Critical</w:t>
            </w:r>
          </w:p>
        </w:tc>
        <w:tc>
          <w:tcPr>
            <w:tcW w:type="dxa" w:w="3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Threshold exceeded — immediate intervention recommended</w:t>
            </w:r>
          </w:p>
        </w:tc>
      </w:tr>
    </w:tbl>
    <w:p>
      <w:pPr>
        <w:spacing w:before="80" w:after="80"/>
      </w:pPr>
      <w:r>
        <w:t xml:space="preserve"/>
      </w:r>
    </w:p>
    <w:p>
      <w:pPr>
        <w:spacing w:before="100" w:after="100"/>
        <w:jc w:val="both"/>
      </w:pPr>
      <w:r>
        <w:rPr>
          <w:rFonts w:ascii="Arial" w:cs="Arial" w:eastAsia="Arial" w:hAnsi="Arial"/>
          <w:color w:val="1E2A16"/>
          <w:sz w:val="22"/>
          <w:szCs w:val="22"/>
        </w:rPr>
        <w:t xml:space="preserve">The alarm state for each indicator is determined by comparing the current metric value against configurable thresholds. Default thresholds are set to reflect commonly used epidemiological benchmarks, but they can be adjusted to reflect local health system capacity and policy context (see Section 4.4).</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4.2 The three KPI cards</w:t>
      </w:r>
    </w:p>
    <w:p>
      <w:pPr>
        <w:pStyle w:val="Heading3"/>
        <w:spacing w:before="180" w:after="80"/>
      </w:pPr>
      <w:r>
        <w:rPr>
          <w:rFonts w:ascii="Arial" w:cs="Arial" w:eastAsia="Arial" w:hAnsi="Arial"/>
          <w:b/>
          <w:bCs/>
          <w:color w:val="48553F"/>
          <w:sz w:val="23"/>
          <w:szCs w:val="23"/>
        </w:rPr>
        <w:t xml:space="preserve">Epidemic Trajectory</w:t>
      </w:r>
    </w:p>
    <w:p>
      <w:pPr>
        <w:spacing w:before="100" w:after="100"/>
        <w:jc w:val="both"/>
      </w:pPr>
      <w:r>
        <w:rPr>
          <w:rFonts w:ascii="Arial" w:cs="Arial" w:eastAsia="Arial" w:hAnsi="Arial"/>
          <w:color w:val="1E2A16"/>
          <w:sz w:val="22"/>
          <w:szCs w:val="22"/>
        </w:rPr>
        <w:t xml:space="preserve">This card shows the weekly growth rate of the infectious compartment (I) — that is, the percentage change in the number of actively infectious individuals over the most recent seven simulated days. A positive value indicates a growing epidemic; a negative value indicates a declining one.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0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Controlled</w:t>
            </w:r>
          </w:p>
        </w:tc>
        <w:tc>
          <w:tcPr>
            <w:tcW w:type="dxa" w:w="7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Weekly growth rate below the warning threshold (default: 1%)</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Warning</w:t>
            </w:r>
          </w:p>
        </w:tc>
        <w:tc>
          <w:tcPr>
            <w:tcW w:type="dxa" w:w="7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Weekly growth rate between warning and critical thresholds (default: 1% to 20%)</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Critical</w:t>
            </w:r>
          </w:p>
        </w:tc>
        <w:tc>
          <w:tcPr>
            <w:tcW w:type="dxa" w:w="7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Weekly growth rate above the critical threshold (default: above 20%)</w:t>
            </w:r>
          </w:p>
        </w:tc>
      </w:tr>
    </w:tbl>
    <w:p>
      <w:pPr>
        <w:spacing w:before="80" w:after="80"/>
      </w:pPr>
      <w:r>
        <w:t xml:space="preserve"/>
      </w:r>
    </w:p>
    <w:p>
      <w:pPr>
        <w:pStyle w:val="Heading3"/>
        <w:spacing w:before="180" w:after="80"/>
      </w:pPr>
      <w:r>
        <w:rPr>
          <w:rFonts w:ascii="Arial" w:cs="Arial" w:eastAsia="Arial" w:hAnsi="Arial"/>
          <w:b/>
          <w:bCs/>
          <w:color w:val="48553F"/>
          <w:sz w:val="23"/>
          <w:szCs w:val="23"/>
        </w:rPr>
        <w:t xml:space="preserve">ICU Pressure</w:t>
      </w:r>
    </w:p>
    <w:p>
      <w:pPr>
        <w:spacing w:before="100" w:after="100"/>
        <w:jc w:val="both"/>
      </w:pPr>
      <w:r>
        <w:rPr>
          <w:rFonts w:ascii="Arial" w:cs="Arial" w:eastAsia="Arial" w:hAnsi="Arial"/>
          <w:color w:val="1E2A16"/>
          <w:sz w:val="22"/>
          <w:szCs w:val="22"/>
        </w:rPr>
        <w:t xml:space="preserve">This card shows the estimated ICU bed occupancy on the final day of the simulation, expressed as a percentage of the total ICU capacity configured in the model. It reflects how close the health system is to ICU saturation under the current scenario.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0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Controlled</w:t>
            </w:r>
          </w:p>
        </w:tc>
        <w:tc>
          <w:tcPr>
            <w:tcW w:type="dxa" w:w="7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ICU occupancy below warning threshold (default: 70% of capacity)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Warning</w:t>
            </w:r>
          </w:p>
        </w:tc>
        <w:tc>
          <w:tcPr>
            <w:tcW w:type="dxa" w:w="7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ICU occupancy between warning and critical thresholds (default: 70% to 100%)</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Critical</w:t>
            </w:r>
          </w:p>
        </w:tc>
        <w:tc>
          <w:tcPr>
            <w:tcW w:type="dxa" w:w="7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ICU occupancy above critical threshold (default: above 100% — system saturated)</w:t>
            </w:r>
          </w:p>
        </w:tc>
      </w:tr>
    </w:tbl>
    <w:p>
      <w:pPr>
        <w:spacing w:before="80" w:after="80"/>
      </w:pPr>
      <w:r>
        <w:t xml:space="preserve"/>
      </w:r>
    </w:p>
    <w:p>
      <w:pPr>
        <w:pStyle w:val="Heading3"/>
        <w:spacing w:before="180" w:after="80"/>
      </w:pPr>
      <w:r>
        <w:rPr>
          <w:rFonts w:ascii="Arial" w:cs="Arial" w:eastAsia="Arial" w:hAnsi="Arial"/>
          <w:b/>
          <w:bCs/>
          <w:color w:val="48553F"/>
          <w:sz w:val="23"/>
          <w:szCs w:val="23"/>
        </w:rPr>
        <w:t xml:space="preserve">Cumulative Impact</w:t>
      </w:r>
    </w:p>
    <w:p>
      <w:pPr>
        <w:spacing w:before="100" w:after="100"/>
        <w:jc w:val="both"/>
      </w:pPr>
      <w:r>
        <w:rPr>
          <w:rFonts w:ascii="Arial" w:cs="Arial" w:eastAsia="Arial" w:hAnsi="Arial"/>
          <w:color w:val="1E2A16"/>
          <w:sz w:val="22"/>
          <w:szCs w:val="22"/>
        </w:rPr>
        <w:t xml:space="preserve">This card shows the total cumulative deaths at the end of the simulation period, expressed as a percentage of the total population. It provides a summary measure of the overall burden of the epidemic under the current scenario.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0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Controlled</w:t>
            </w:r>
          </w:p>
        </w:tc>
        <w:tc>
          <w:tcPr>
            <w:tcW w:type="dxa" w:w="7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Cumulative deaths below warning threshold (default: 0.05% of population)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Warning</w:t>
            </w:r>
          </w:p>
        </w:tc>
        <w:tc>
          <w:tcPr>
            <w:tcW w:type="dxa" w:w="7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Cumulative deaths between warning and critical thresholds (default: 0.05% to 0.20%)</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Critical</w:t>
            </w:r>
          </w:p>
        </w:tc>
        <w:tc>
          <w:tcPr>
            <w:tcW w:type="dxa" w:w="7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Cumulative deaths above critical threshold (default: above 0.20% of population)</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4.3 Scenario parameters</w:t>
      </w:r>
    </w:p>
    <w:p>
      <w:pPr>
        <w:spacing w:before="100" w:after="100"/>
        <w:jc w:val="both"/>
      </w:pPr>
      <w:r>
        <w:rPr>
          <w:rFonts w:ascii="Arial" w:cs="Arial" w:eastAsia="Arial" w:hAnsi="Arial"/>
          <w:color w:val="1E2A16"/>
          <w:sz w:val="22"/>
          <w:szCs w:val="22"/>
        </w:rPr>
        <w:t xml:space="preserve">Below the KPI cards, two sliders allow you to adjust the scenario and observe how the alarm indicators respond in real time:</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R₀ (Basic Reproduction Number) — the average number of secondary infections generated by one infectious individual in a fully susceptible population. Higher values represent more transmissible disease. Range: 0.5 to 6.0. Default: 2.5.</w:t>
      </w:r>
    </w:p>
    <w:p>
      <w:pPr>
        <w:pStyle w:val="ListParagraph"/>
        <w:numPr>
          <w:ilvl w:val="0"/>
          <w:numId w:val="2"/>
        </w:numPr>
        <w:spacing w:before="60" w:after="60"/>
      </w:pPr>
      <w:r>
        <w:rPr>
          <w:rFonts w:ascii="Arial" w:cs="Arial" w:eastAsia="Arial" w:hAnsi="Arial"/>
          <w:b w:val="false"/>
          <w:bCs w:val="false"/>
          <w:color w:val="1E2A16"/>
          <w:sz w:val="22"/>
          <w:szCs w:val="22"/>
        </w:rPr>
        <w:t xml:space="preserve">Compliance Level (%) — the degree to which the population adheres to public health interventions. A higher compliance level reduces the effective R₀. Range: 0% to 100%. Default: 50%.</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Important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The Simplified View is fully isolated from the Advanced View. Adjusting sliders in the Simplified View does not affect the Advanced View simulation, and vice versa. Both views are always initialised from the same default parameters when a dataset is loaded.</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4.4 Configuring alarm thresholds</w:t>
      </w:r>
    </w:p>
    <w:p>
      <w:pPr>
        <w:spacing w:before="100" w:after="100"/>
        <w:jc w:val="both"/>
      </w:pPr>
      <w:r>
        <w:rPr>
          <w:rFonts w:ascii="Arial" w:cs="Arial" w:eastAsia="Arial" w:hAnsi="Arial"/>
          <w:color w:val="1E2A16"/>
          <w:sz w:val="22"/>
          <w:szCs w:val="22"/>
        </w:rPr>
        <w:t xml:space="preserve">Click the Settings — Alarm Thresholds toggle to open the threshold configuration panel. This panel allows you to override the default warning and critical thresholds for each of the three KPI indicators. Changes take effect immediately without re-running the simulation.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4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c>
          <w:tcPr>
            <w:tcW w:type="dxa" w:w="34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ICU Pressure — Warning</w:t>
            </w:r>
          </w:p>
        </w:tc>
        <w:tc>
          <w:tcPr>
            <w:tcW w:type="dxa" w:w="2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70% of capacity</w:t>
            </w:r>
          </w:p>
        </w:tc>
        <w:tc>
          <w:tcPr>
            <w:tcW w:type="dxa" w:w="3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ICU occupancy at which the Warning state is triggered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ICU Pressure — Critical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100% of capacity</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ICU occupancy at which the Critical state is triggered</w:t>
            </w:r>
          </w:p>
        </w:tc>
      </w:tr>
      <w:tr>
        <w:tc>
          <w:tcPr>
            <w:tcW w:type="dxa" w:w="3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Epidemic Trajectory — Warning</w:t>
            </w:r>
          </w:p>
        </w:tc>
        <w:tc>
          <w:tcPr>
            <w:tcW w:type="dxa" w:w="2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1% weekly growth</w:t>
            </w:r>
          </w:p>
        </w:tc>
        <w:tc>
          <w:tcPr>
            <w:tcW w:type="dxa" w:w="3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Growth rate at which the Warning state is triggered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Epidemic Trajectory — Critical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20% weekly growth</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Growth rate at which the Critical state is triggered</w:t>
            </w:r>
          </w:p>
        </w:tc>
      </w:tr>
      <w:tr>
        <w:tc>
          <w:tcPr>
            <w:tcW w:type="dxa" w:w="3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Cumulative Impact — Warning</w:t>
            </w:r>
          </w:p>
        </w:tc>
        <w:tc>
          <w:tcPr>
            <w:tcW w:type="dxa" w:w="2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0.05% of population</w:t>
            </w:r>
          </w:p>
        </w:tc>
        <w:tc>
          <w:tcPr>
            <w:tcW w:type="dxa" w:w="3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Cumulative deaths at which the Warning state is triggered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Cumulative Impact — Critical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0.20% of population</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Cumulative deaths at which the Critical state is triggered</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Tip</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Adjust the thresholds to reflect the specific capacity constraints of the health system you are modelling. For example, if the country you are studying has significantly fewer ICU beds per capita than the Argentine default, you may wish to lower the warning threshold accordingly.</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5. Advanced View</w:t>
      </w:r>
    </w:p>
    <w:p>
      <w:pPr>
        <w:spacing w:before="100" w:after="100"/>
        <w:jc w:val="both"/>
      </w:pPr>
      <w:r>
        <w:rPr>
          <w:rFonts w:ascii="Arial" w:cs="Arial" w:eastAsia="Arial" w:hAnsi="Arial"/>
          <w:color w:val="1E2A16"/>
          <w:sz w:val="22"/>
          <w:szCs w:val="22"/>
        </w:rPr>
        <w:t xml:space="preserve">The Advanced View provides full parameter control over the SEIR simulation and displays results across three visualisation panels. It is designed for epidemiologists, researchers, and technical analysts who need detailed scenario projections.</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5.1 Layout</w:t>
      </w:r>
    </w:p>
    <w:p>
      <w:pPr>
        <w:spacing w:before="100" w:after="100"/>
        <w:jc w:val="both"/>
      </w:pPr>
      <w:r>
        <w:rPr>
          <w:rFonts w:ascii="Arial" w:cs="Arial" w:eastAsia="Arial" w:hAnsi="Arial"/>
          <w:color w:val="1E2A16"/>
          <w:sz w:val="22"/>
          <w:szCs w:val="22"/>
        </w:rPr>
        <w:t xml:space="preserve">The Advanced View is divided into two areas. On the left, a sticky parameter panel contains all the controls for adjusting the simulation. On the right, a tabbed output area displays the results across three panels: Epidemic Curves, Resource Pressure, and Simulated Data.</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5.2 Parameter panels</w:t>
      </w:r>
    </w:p>
    <w:p>
      <w:pPr>
        <w:pStyle w:val="Heading3"/>
        <w:spacing w:before="180" w:after="80"/>
      </w:pPr>
      <w:r>
        <w:rPr>
          <w:rFonts w:ascii="Arial" w:cs="Arial" w:eastAsia="Arial" w:hAnsi="Arial"/>
          <w:b/>
          <w:bCs/>
          <w:color w:val="48553F"/>
          <w:sz w:val="23"/>
          <w:szCs w:val="23"/>
        </w:rPr>
        <w:t xml:space="preserve">Epidemiological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226"/>
      </w:tblGrid>
      <w:tr>
        <w:trPr>
          <w:tblHeader/>
        </w:trPr>
        <w:tc>
          <w:tcPr>
            <w:tcW w:type="dxa" w:w="22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4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42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R₀</w:t>
            </w:r>
          </w:p>
        </w:tc>
        <w:tc>
          <w:tcPr>
            <w:tcW w:type="dxa" w:w="1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2.5</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0.1 – 10.0</w:t>
            </w:r>
          </w:p>
        </w:tc>
        <w:tc>
          <w:tcPr>
            <w:tcW w:type="dxa" w:w="42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Basic reproduction number. The average number of secondary infections generated by one infectious individual in a fully susceptible population.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Incubation period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5 days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1 – 21</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Average number of days between exposure and becoming infectious.</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Infectious period</w:t>
            </w:r>
          </w:p>
        </w:tc>
        <w:tc>
          <w:tcPr>
            <w:tcW w:type="dxa" w:w="1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7 days</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1 – 30</w:t>
            </w:r>
          </w:p>
        </w:tc>
        <w:tc>
          <w:tcPr>
            <w:tcW w:type="dxa" w:w="42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Average number of days an individual remains infectious.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IFR (%)</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0.01 – 10</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Infection Fatality Rate. The proportion of infected individuals who die. Expressed as a percentage in the interface.</w:t>
            </w:r>
          </w:p>
        </w:tc>
      </w:tr>
    </w:tbl>
    <w:p>
      <w:pPr>
        <w:spacing w:before="80" w:after="80"/>
      </w:pPr>
      <w:r>
        <w:t xml:space="preserve"/>
      </w:r>
    </w:p>
    <w:p>
      <w:pPr>
        <w:pStyle w:val="Heading3"/>
        <w:spacing w:before="180" w:after="80"/>
      </w:pPr>
      <w:r>
        <w:rPr>
          <w:rFonts w:ascii="Arial" w:cs="Arial" w:eastAsia="Arial" w:hAnsi="Arial"/>
          <w:b/>
          <w:bCs/>
          <w:color w:val="48553F"/>
          <w:sz w:val="23"/>
          <w:szCs w:val="23"/>
        </w:rPr>
        <w:t xml:space="preserve">Public health intervention parameters</w:t>
      </w:r>
    </w:p>
    <w:p>
      <w:pPr>
        <w:spacing w:before="100" w:after="100"/>
        <w:jc w:val="both"/>
      </w:pPr>
      <w:r>
        <w:rPr>
          <w:rFonts w:ascii="Arial" w:cs="Arial" w:eastAsia="Arial" w:hAnsi="Arial"/>
          <w:color w:val="1E2A16"/>
          <w:sz w:val="22"/>
          <w:szCs w:val="22"/>
        </w:rPr>
        <w:t xml:space="preserve">These controls allow you to simulate the effect of different public health policies on the epidemic trajectory.</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Options / Range</w:t>
            </w:r>
          </w:p>
        </w:tc>
        <w:tc>
          <w:tcPr>
            <w:tcW w:type="dxa" w:w="36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Intervention type</w:t>
            </w:r>
          </w:p>
        </w:tc>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No intervention; Phased mitigation; Intermittent; ICU-triggered</w:t>
            </w:r>
          </w:p>
        </w:tc>
        <w:tc>
          <w:tcPr>
            <w:tcW w:type="dxa" w:w="36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The policy strategy applied. Each strategy modifies the effective R₀ differently over time.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Compliance level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0% – 100%</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The degree to which the population adheres to the intervention. At 100% compliance, R₀ is reduced by 50%.</w:t>
            </w:r>
          </w:p>
        </w:tc>
      </w:tr>
    </w:tbl>
    <w:p>
      <w:pPr>
        <w:spacing w:before="80" w:after="80"/>
      </w:pPr>
      <w:r>
        <w:t xml:space="preserve"/>
      </w:r>
    </w:p>
    <w:p>
      <w:pPr>
        <w:spacing w:before="100" w:after="100"/>
        <w:jc w:val="both"/>
      </w:pPr>
      <w:r>
        <w:rPr>
          <w:rFonts w:ascii="Arial" w:cs="Arial" w:eastAsia="Arial" w:hAnsi="Arial"/>
          <w:color w:val="1E2A16"/>
          <w:sz w:val="22"/>
          <w:szCs w:val="22"/>
        </w:rPr>
        <w:t xml:space="preserve">The four intervention strategies work as follows:</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No intervention — R₀ remains at its base value throughout the simulation period.</w:t>
      </w:r>
    </w:p>
    <w:p>
      <w:pPr>
        <w:pStyle w:val="ListParagraph"/>
        <w:numPr>
          <w:ilvl w:val="0"/>
          <w:numId w:val="2"/>
        </w:numPr>
        <w:spacing w:before="60" w:after="60"/>
      </w:pPr>
      <w:r>
        <w:rPr>
          <w:rFonts w:ascii="Arial" w:cs="Arial" w:eastAsia="Arial" w:hAnsi="Arial"/>
          <w:b w:val="false"/>
          <w:bCs w:val="false"/>
          <w:color w:val="1E2A16"/>
          <w:sz w:val="22"/>
          <w:szCs w:val="22"/>
        </w:rPr>
        <w:t xml:space="preserve">Phased mitigation — a sustained reduction in R₀ proportional to the compliance level, applied from the start of the simulation.</w:t>
      </w:r>
    </w:p>
    <w:p>
      <w:pPr>
        <w:pStyle w:val="ListParagraph"/>
        <w:numPr>
          <w:ilvl w:val="0"/>
          <w:numId w:val="2"/>
        </w:numPr>
        <w:spacing w:before="60" w:after="60"/>
      </w:pPr>
      <w:r>
        <w:rPr>
          <w:rFonts w:ascii="Arial" w:cs="Arial" w:eastAsia="Arial" w:hAnsi="Arial"/>
          <w:b w:val="false"/>
          <w:bCs w:val="false"/>
          <w:color w:val="1E2A16"/>
          <w:sz w:val="22"/>
          <w:szCs w:val="22"/>
        </w:rPr>
        <w:t xml:space="preserve">Intermittent — R₀ alternates between its base value and a reduced value, simulating periodic tightening and relaxation of restrictions.</w:t>
      </w:r>
    </w:p>
    <w:p>
      <w:pPr>
        <w:pStyle w:val="ListParagraph"/>
        <w:numPr>
          <w:ilvl w:val="0"/>
          <w:numId w:val="2"/>
        </w:numPr>
        <w:spacing w:before="60" w:after="60"/>
      </w:pPr>
      <w:r>
        <w:rPr>
          <w:rFonts w:ascii="Arial" w:cs="Arial" w:eastAsia="Arial" w:hAnsi="Arial"/>
          <w:b w:val="false"/>
          <w:bCs w:val="false"/>
          <w:color w:val="1E2A16"/>
          <w:sz w:val="22"/>
          <w:szCs w:val="22"/>
        </w:rPr>
        <w:t xml:space="preserve">ICU-triggered — more restrictive measures are activated automatically when ICU occupancy reaches a threshold, and lifted when occupancy falls below it.</w:t>
      </w:r>
    </w:p>
    <w:p>
      <w:pPr>
        <w:spacing w:before="80" w:after="80"/>
      </w:pPr>
      <w:r>
        <w:t xml:space="preserve"/>
      </w:r>
    </w:p>
    <w:p>
      <w:pPr>
        <w:pStyle w:val="Heading3"/>
        <w:spacing w:before="180" w:after="80"/>
      </w:pPr>
      <w:r>
        <w:rPr>
          <w:rFonts w:ascii="Arial" w:cs="Arial" w:eastAsia="Arial" w:hAnsi="Arial"/>
          <w:b/>
          <w:bCs/>
          <w:color w:val="48553F"/>
          <w:sz w:val="23"/>
          <w:szCs w:val="23"/>
        </w:rPr>
        <w:t xml:space="preserve">Healthcare resource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2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ICU capacity</w:t>
            </w:r>
          </w:p>
        </w:tc>
        <w:tc>
          <w:tcPr>
            <w:tcW w:type="dxa" w:w="1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6,000 beds</w:t>
            </w:r>
          </w:p>
        </w:tc>
        <w:tc>
          <w:tcPr>
            <w:tcW w:type="dxa" w:w="42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Total ICU beds available. Used as the reference threshold in the Resource Pressure plot.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Ventilator availability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2,000</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Total ventilators available. Used as the reference threshold in the Resource Pressure plot.</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Healthcare staff</w:t>
            </w:r>
          </w:p>
        </w:tc>
        <w:tc>
          <w:tcPr>
            <w:tcW w:type="dxa" w:w="1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10,000</w:t>
            </w:r>
          </w:p>
        </w:tc>
        <w:tc>
          <w:tcPr>
            <w:tcW w:type="dxa" w:w="42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Staff directly engaged in critical COVID-19 care. For reference display.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ICU admission rate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13.6%</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Proportion of infectious individuals who require ICU admission.</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Ventilator usage rate</w:t>
            </w:r>
          </w:p>
        </w:tc>
        <w:tc>
          <w:tcPr>
            <w:tcW w:type="dxa" w:w="1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2.0%</w:t>
            </w:r>
          </w:p>
        </w:tc>
        <w:tc>
          <w:tcPr>
            <w:tcW w:type="dxa" w:w="42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Proportion of infectious individuals who require mechanical ventilation.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Note on defaults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Default values are derived from Argentine data sources (IECS, SATI, INDEC). When using the platform in a different national context, these values should be updated to reflect local health system capacity. The IECS / Santoro dataset pre-populates the epidemiological parameters with empirically grounded Argentine values; resource parameters can be adjusted manually.</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5.3 Running a simulation</w:t>
      </w:r>
    </w:p>
    <w:p>
      <w:pPr>
        <w:spacing w:before="100" w:after="100"/>
        <w:jc w:val="both"/>
      </w:pPr>
      <w:r>
        <w:rPr>
          <w:rFonts w:ascii="Arial" w:cs="Arial" w:eastAsia="Arial" w:hAnsi="Arial"/>
          <w:color w:val="1E2A16"/>
          <w:sz w:val="22"/>
          <w:szCs w:val="22"/>
        </w:rPr>
        <w:t xml:space="preserve">Adjust the parameters using the controls in the left panel. The simulation updates automatically each time a parameter value changes. There is no need to press a button to run the model — results refresh in real time.</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5.4 Output panels</w:t>
      </w:r>
    </w:p>
    <w:p>
      <w:pPr>
        <w:pStyle w:val="Heading3"/>
        <w:spacing w:before="180" w:after="80"/>
      </w:pPr>
      <w:r>
        <w:rPr>
          <w:rFonts w:ascii="Arial" w:cs="Arial" w:eastAsia="Arial" w:hAnsi="Arial"/>
          <w:b/>
          <w:bCs/>
          <w:color w:val="48553F"/>
          <w:sz w:val="23"/>
          <w:szCs w:val="23"/>
        </w:rPr>
        <w:t xml:space="preserve">Epidemic Curves</w:t>
      </w:r>
    </w:p>
    <w:p>
      <w:pPr>
        <w:spacing w:before="100" w:after="100"/>
        <w:jc w:val="both"/>
      </w:pPr>
      <w:r>
        <w:rPr>
          <w:rFonts w:ascii="Arial" w:cs="Arial" w:eastAsia="Arial" w:hAnsi="Arial"/>
          <w:color w:val="1E2A16"/>
          <w:sz w:val="22"/>
          <w:szCs w:val="22"/>
        </w:rPr>
        <w:t xml:space="preserve">This panel displays the evolution of the four SEIR compartments over the simulation period, along with cumulative cases and deaths. Two charts are shown:</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SEIR dynamics — the proportion of the population in each compartment (Susceptible, Exposed, Infectious, Recovered) over time.</w:t>
      </w:r>
    </w:p>
    <w:p>
      <w:pPr>
        <w:pStyle w:val="ListParagraph"/>
        <w:numPr>
          <w:ilvl w:val="0"/>
          <w:numId w:val="2"/>
        </w:numPr>
        <w:spacing w:before="60" w:after="60"/>
      </w:pPr>
      <w:r>
        <w:rPr>
          <w:rFonts w:ascii="Arial" w:cs="Arial" w:eastAsia="Arial" w:hAnsi="Arial"/>
          <w:b w:val="false"/>
          <w:bCs w:val="false"/>
          <w:color w:val="1E2A16"/>
          <w:sz w:val="22"/>
          <w:szCs w:val="22"/>
        </w:rPr>
        <w:t xml:space="preserve">Cumulative cases and deaths — the running total of new infections and deaths over the simulation period.</w:t>
      </w:r>
    </w:p>
    <w:p>
      <w:pPr>
        <w:spacing w:before="80" w:after="80"/>
      </w:pPr>
      <w:r>
        <w:t xml:space="preserve"/>
      </w:r>
    </w:p>
    <w:p>
      <w:pPr>
        <w:pStyle w:val="Heading3"/>
        <w:spacing w:before="180" w:after="80"/>
      </w:pPr>
      <w:r>
        <w:rPr>
          <w:rFonts w:ascii="Arial" w:cs="Arial" w:eastAsia="Arial" w:hAnsi="Arial"/>
          <w:b/>
          <w:bCs/>
          <w:color w:val="48553F"/>
          <w:sz w:val="23"/>
          <w:szCs w:val="23"/>
        </w:rPr>
        <w:t xml:space="preserve">Resource Pressure</w:t>
      </w:r>
    </w:p>
    <w:p>
      <w:pPr>
        <w:spacing w:before="100" w:after="100"/>
        <w:jc w:val="both"/>
      </w:pPr>
      <w:r>
        <w:rPr>
          <w:rFonts w:ascii="Arial" w:cs="Arial" w:eastAsia="Arial" w:hAnsi="Arial"/>
          <w:color w:val="1E2A16"/>
          <w:sz w:val="22"/>
          <w:szCs w:val="22"/>
        </w:rPr>
        <w:t xml:space="preserve">This panel compares the simulated demand for ICU beds and ventilators against the capacity values configured in the parameter panel. Two charts are shown:</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ICU demand vs. capacity — the estimated daily ICU occupancy (solid line) against the configured ICU capacity (dashed line). Areas where demand exceeds capacity are highlighted in a shaded ribbon.</w:t>
      </w:r>
    </w:p>
    <w:p>
      <w:pPr>
        <w:pStyle w:val="ListParagraph"/>
        <w:numPr>
          <w:ilvl w:val="0"/>
          <w:numId w:val="2"/>
        </w:numPr>
        <w:spacing w:before="60" w:after="60"/>
      </w:pPr>
      <w:r>
        <w:rPr>
          <w:rFonts w:ascii="Arial" w:cs="Arial" w:eastAsia="Arial" w:hAnsi="Arial"/>
          <w:b w:val="false"/>
          <w:bCs w:val="false"/>
          <w:color w:val="1E2A16"/>
          <w:sz w:val="22"/>
          <w:szCs w:val="22"/>
        </w:rPr>
        <w:t xml:space="preserve">Ventilator demand vs. capacity — the same comparison for ventilator usage.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How ICU occupancy is calculated</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ICU occupancy is estimated using a rolling sum of daily ICU demand over a window equal to the average hospital stay (default: 10 days). This is a computational approximation — a more precise model would use a queueing model with individual-level data. The approximation is sufficient for scenario planning purposes at this stage of development.</w:t>
            </w:r>
          </w:p>
        </w:tc>
      </w:tr>
    </w:tbl>
    <w:p>
      <w:pPr>
        <w:spacing w:before="80" w:after="80"/>
      </w:pPr>
      <w:r>
        <w:t xml:space="preserve"/>
      </w:r>
    </w:p>
    <w:p>
      <w:pPr>
        <w:pStyle w:val="Heading3"/>
        <w:spacing w:before="180" w:after="80"/>
      </w:pPr>
      <w:r>
        <w:rPr>
          <w:rFonts w:ascii="Arial" w:cs="Arial" w:eastAsia="Arial" w:hAnsi="Arial"/>
          <w:b/>
          <w:bCs/>
          <w:color w:val="48553F"/>
          <w:sz w:val="23"/>
          <w:szCs w:val="23"/>
        </w:rPr>
        <w:t xml:space="preserve">Simulated Data</w:t>
      </w:r>
    </w:p>
    <w:p>
      <w:pPr>
        <w:spacing w:before="100" w:after="100"/>
        <w:jc w:val="both"/>
      </w:pPr>
      <w:r>
        <w:rPr>
          <w:rFonts w:ascii="Arial" w:cs="Arial" w:eastAsia="Arial" w:hAnsi="Arial"/>
          <w:color w:val="1E2A16"/>
          <w:sz w:val="22"/>
          <w:szCs w:val="22"/>
        </w:rPr>
        <w:t xml:space="preserve">This panel provides a tabular preview of the full simulation output, including all compartment values, daily and cumulative cases and deaths, and ICU and ventilator occupancy for each simulated day. The full dataset can be downloaded as a CSV file by clicking the Download CSV button. The file uses European locale formatting (comma as decimal separator, semicolon as field delimiter).</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6. Understanding the Model</w:t>
      </w:r>
    </w:p>
    <w:p>
      <w:pPr>
        <w:pStyle w:val="Heading2"/>
        <w:spacing w:before="240" w:after="120"/>
      </w:pPr>
      <w:r>
        <w:rPr>
          <w:rFonts w:ascii="Arial" w:cs="Arial" w:eastAsia="Arial" w:hAnsi="Arial"/>
          <w:b/>
          <w:bCs/>
          <w:color w:val="48553F"/>
          <w:sz w:val="26"/>
          <w:szCs w:val="26"/>
        </w:rPr>
        <w:t xml:space="preserve">6.1 What the model does</w:t>
      </w:r>
    </w:p>
    <w:p>
      <w:pPr>
        <w:spacing w:before="100" w:after="100"/>
        <w:jc w:val="both"/>
      </w:pPr>
      <w:r>
        <w:rPr>
          <w:rFonts w:ascii="Arial" w:cs="Arial" w:eastAsia="Arial" w:hAnsi="Arial"/>
          <w:color w:val="1E2A16"/>
          <w:sz w:val="22"/>
          <w:szCs w:val="22"/>
        </w:rPr>
        <w:t xml:space="preserve">The SEIR model divides the population into four groups — Susceptible, Exposed, Infectious, and Recovered — and simulates how individuals move between these groups over time, governed by the epidemiological parameters you configure. It produces projections of how many people are infected, how many die, and how much pressure is placed on healthcare resources under a given set of assumptions.</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6.2 What the model does not do</w:t>
      </w:r>
    </w:p>
    <w:p>
      <w:pPr>
        <w:spacing w:before="100" w:after="100"/>
        <w:jc w:val="both"/>
      </w:pPr>
      <w:r>
        <w:rPr>
          <w:rFonts w:ascii="Arial" w:cs="Arial" w:eastAsia="Arial" w:hAnsi="Arial"/>
          <w:color w:val="1E2A16"/>
          <w:sz w:val="22"/>
          <w:szCs w:val="22"/>
        </w:rPr>
        <w:t xml:space="preserve">The model is a scenario-planning tool, not a predictive forecasting system. Its outputs represent plausible trajectories under the assumptions you configure — they are not predictions of what will happen. The accuracy of the results depends entirely on the quality and appropriateness of the parameters you use.</w:t>
      </w:r>
    </w:p>
    <w:p>
      <w:pPr>
        <w:spacing w:before="80" w:after="80"/>
      </w:pPr>
      <w:r>
        <w:t xml:space="preserve"/>
      </w:r>
    </w:p>
    <w:p>
      <w:pPr>
        <w:pStyle w:val="ListParagraph"/>
        <w:numPr>
          <w:ilvl w:val="0"/>
          <w:numId w:val="2"/>
        </w:numPr>
        <w:spacing w:before="60" w:after="60"/>
      </w:pPr>
      <w:r>
        <w:rPr>
          <w:rFonts w:ascii="Arial" w:cs="Arial" w:eastAsia="Arial" w:hAnsi="Arial"/>
          <w:b w:val="false"/>
          <w:bCs w:val="false"/>
          <w:color w:val="1E2A16"/>
          <w:sz w:val="22"/>
          <w:szCs w:val="22"/>
        </w:rPr>
        <w:t xml:space="preserve">The model assumes a homogeneous population — it does not account for age structure, geographic variation, or differences in contact rates between groups.</w:t>
      </w:r>
    </w:p>
    <w:p>
      <w:pPr>
        <w:pStyle w:val="ListParagraph"/>
        <w:numPr>
          <w:ilvl w:val="0"/>
          <w:numId w:val="2"/>
        </w:numPr>
        <w:spacing w:before="60" w:after="60"/>
      </w:pPr>
      <w:r>
        <w:rPr>
          <w:rFonts w:ascii="Arial" w:cs="Arial" w:eastAsia="Arial" w:hAnsi="Arial"/>
          <w:b w:val="false"/>
          <w:bCs w:val="false"/>
          <w:color w:val="1E2A16"/>
          <w:sz w:val="22"/>
          <w:szCs w:val="22"/>
        </w:rPr>
        <w:t xml:space="preserve">The Infection Fatality Rate (IFR) is applied as a single global value. In reality, IFR varies significantly with age and the presence of comorbidities.</w:t>
      </w:r>
    </w:p>
    <w:p>
      <w:pPr>
        <w:pStyle w:val="ListParagraph"/>
        <w:numPr>
          <w:ilvl w:val="0"/>
          <w:numId w:val="2"/>
        </w:numPr>
        <w:spacing w:before="60" w:after="60"/>
      </w:pPr>
      <w:r>
        <w:rPr>
          <w:rFonts w:ascii="Arial" w:cs="Arial" w:eastAsia="Arial" w:hAnsi="Arial"/>
          <w:b w:val="false"/>
          <w:bCs w:val="false"/>
          <w:color w:val="1E2A16"/>
          <w:sz w:val="22"/>
          <w:szCs w:val="22"/>
        </w:rPr>
        <w:t xml:space="preserve">The model does not incorporate vaccination dynamics in its current form.</w:t>
      </w:r>
    </w:p>
    <w:p>
      <w:pPr>
        <w:pStyle w:val="ListParagraph"/>
        <w:numPr>
          <w:ilvl w:val="0"/>
          <w:numId w:val="2"/>
        </w:numPr>
        <w:spacing w:before="60" w:after="60"/>
      </w:pPr>
      <w:r>
        <w:rPr>
          <w:rFonts w:ascii="Arial" w:cs="Arial" w:eastAsia="Arial" w:hAnsi="Arial"/>
          <w:b w:val="false"/>
          <w:bCs w:val="false"/>
          <w:color w:val="1E2A16"/>
          <w:sz w:val="22"/>
          <w:szCs w:val="22"/>
        </w:rPr>
        <w:t xml:space="preserve">ICU occupancy is estimated using a simplified rolling sum approximation.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Guidance on interpretation</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When interpreting model outputs, focus on the relative differences between scenarios rather than the absolute values. Comparing a 'no intervention' scenario with a 'phased mitigation' scenario, for example, gives a meaningful sense of the potential impact of the policy — even if the absolute numbers are uncertain.</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6.3 Model provenance</w:t>
      </w:r>
    </w:p>
    <w:p>
      <w:pPr>
        <w:spacing w:before="100" w:after="100"/>
        <w:jc w:val="both"/>
      </w:pPr>
      <w:r>
        <w:rPr>
          <w:rFonts w:ascii="Arial" w:cs="Arial" w:eastAsia="Arial" w:hAnsi="Arial"/>
          <w:color w:val="1E2A16"/>
          <w:sz w:val="22"/>
          <w:szCs w:val="22"/>
        </w:rPr>
        <w:t xml:space="preserve">The SEIR model implemented in this platform is based on the model developed by Santoro et al. (2022) at the Institute for Clinical Effectiveness and Health Policy (IECS), Argentina, and used to inform national COVID-19 health policy during the pandemic. The model was published as an open-access, peer-reviewed article in PLOS Global Public Health. Full reference: Santoro A et al. PLOS Glob Public Health. 2022;2(3):e0000186. https://doi.org/10.1371/journal.pgph.0000186</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7. Frequently Asked Questions</w:t>
      </w:r>
    </w:p>
    <w:p>
      <w:pPr>
        <w:pStyle w:val="Heading2"/>
        <w:spacing w:before="240" w:after="120"/>
      </w:pPr>
      <w:r>
        <w:rPr>
          <w:rFonts w:ascii="Arial" w:cs="Arial" w:eastAsia="Arial" w:hAnsi="Arial"/>
          <w:b/>
          <w:bCs/>
          <w:color w:val="48553F"/>
          <w:sz w:val="26"/>
          <w:szCs w:val="26"/>
        </w:rPr>
        <w:t xml:space="preserve">Can I use my own data?</w:t>
      </w:r>
    </w:p>
    <w:p>
      <w:pPr>
        <w:spacing w:before="100" w:after="100"/>
        <w:jc w:val="both"/>
      </w:pPr>
      <w:r>
        <w:rPr>
          <w:rFonts w:ascii="Arial" w:cs="Arial" w:eastAsia="Arial" w:hAnsi="Arial"/>
          <w:color w:val="1E2A16"/>
          <w:sz w:val="22"/>
          <w:szCs w:val="22"/>
        </w:rPr>
        <w:t xml:space="preserve">The current version of the platform supports two built-in datasets: a simulated dataset and the IECS / Santoro dataset. The ability to upload a custom CSV file is planned for a future release. If you need to use country-specific parameters in the meantime, you can manually adjust the parameter sliders in the Advanced View to reflect your local epidemiological and resource context.</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Can I connect the platform to external data sources?</w:t>
      </w:r>
    </w:p>
    <w:p>
      <w:pPr>
        <w:spacing w:before="100" w:after="100"/>
        <w:jc w:val="both"/>
      </w:pPr>
      <w:r>
        <w:rPr>
          <w:rFonts w:ascii="Arial" w:cs="Arial" w:eastAsia="Arial" w:hAnsi="Arial"/>
          <w:color w:val="1E2A16"/>
          <w:sz w:val="22"/>
          <w:szCs w:val="22"/>
        </w:rPr>
        <w:t xml:space="preserve">Not in the current version. Integration with external data sources — such as the World Health Organization (WHO) and Our World in Data (OWID) repositories — is planned for a future release. The current platform works exclusively with the built-in datasets and manually configured parameters.</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Can I save my scenario settings?</w:t>
      </w:r>
    </w:p>
    <w:p>
      <w:pPr>
        <w:spacing w:before="100" w:after="100"/>
        <w:jc w:val="both"/>
      </w:pPr>
      <w:r>
        <w:rPr>
          <w:rFonts w:ascii="Arial" w:cs="Arial" w:eastAsia="Arial" w:hAnsi="Arial"/>
          <w:color w:val="1E2A16"/>
          <w:sz w:val="22"/>
          <w:szCs w:val="22"/>
        </w:rPr>
        <w:t xml:space="preserve">Not directly within the platform at this stage. However, you can download the full simulation output as a CSV file from the Simulated Data tab, which provides a complete record of the results for any scenario you configure.</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Why does the SEIR model eventually infect the entire population?</w:t>
      </w:r>
    </w:p>
    <w:p>
      <w:pPr>
        <w:spacing w:before="100" w:after="100"/>
        <w:jc w:val="both"/>
      </w:pPr>
      <w:r>
        <w:rPr>
          <w:rFonts w:ascii="Arial" w:cs="Arial" w:eastAsia="Arial" w:hAnsi="Arial"/>
          <w:color w:val="1E2A16"/>
          <w:sz w:val="22"/>
          <w:szCs w:val="22"/>
        </w:rPr>
        <w:t xml:space="preserve">In a standard SEIR model without vaccination or permanent immunity loss, the epidemic continues until all susceptible individuals have been infected — which, in theory, means the entire population. In practice, this does not happen because of interventions, heterogeneity in contact rates, and partial immunity. The model is a simplification that is most useful for comparing the relative impact of different scenarios over a defined time horizon, rather than for projecting long-term equilibrium states.</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The Simplified View and Advanced View show different results — is that correct?</w:t>
      </w:r>
    </w:p>
    <w:p>
      <w:pPr>
        <w:spacing w:before="100" w:after="100"/>
        <w:jc w:val="both"/>
      </w:pPr>
      <w:r>
        <w:rPr>
          <w:rFonts w:ascii="Arial" w:cs="Arial" w:eastAsia="Arial" w:hAnsi="Arial"/>
          <w:color w:val="1E2A16"/>
          <w:sz w:val="22"/>
          <w:szCs w:val="22"/>
        </w:rPr>
        <w:t xml:space="preserve">Yes, this is by design. The two views are fully independent — they do not share parameters or simulation state. The Simplified View is always initialised from the default global parameters and only exposes two controls (R₀ and Compliance Level). The Advanced View provides full parameter control. Changes made in one view do not affect the other.</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8. References</w:t>
      </w:r>
    </w:p>
    <w:p>
      <w:pPr>
        <w:spacing w:before="100" w:after="100"/>
        <w:jc w:val="both"/>
      </w:pPr>
      <w:r>
        <w:rPr>
          <w:rFonts w:ascii="Arial" w:cs="Arial" w:eastAsia="Arial" w:hAnsi="Arial"/>
          <w:color w:val="1E2A16"/>
          <w:sz w:val="22"/>
          <w:szCs w:val="22"/>
        </w:rPr>
        <w:t xml:space="preserve">1. Santoro A, López Osornio A, Williams I, Wachs M, Cejas C, Havela M, et al. Development and application of a dynamic transmission model of health systems' preparedness and response to COVID-19 in twenty-six Latin American and Caribbean countries. PLOS Glob Public Health. 2022;2(3):e0000186. https://doi.org/10.1371/journal.pgph.0000186</w:t>
      </w:r>
    </w:p>
    <w:p>
      <w:pPr>
        <w:spacing w:before="100" w:after="100"/>
        <w:jc w:val="both"/>
      </w:pPr>
      <w:r>
        <w:rPr>
          <w:rFonts w:ascii="Arial" w:cs="Arial" w:eastAsia="Arial" w:hAnsi="Arial"/>
          <w:color w:val="1E2A16"/>
          <w:sz w:val="22"/>
          <w:szCs w:val="22"/>
        </w:rPr>
        <w:t xml:space="preserve">2. Instituto de Efectividad Clínica y Sanitaria (IECS). Modelo epidemiológico y evaluación económica de intervenciones frente a COVID-19 en Argentina. Available at: https://www.iecs.org.ar/wp-content/uploads/Modelo-epi-y-eval-econ_para-web.pdf</w:t>
      </w:r>
    </w:p>
    <w:p>
      <w:pPr>
        <w:spacing w:before="100" w:after="100"/>
        <w:jc w:val="both"/>
      </w:pPr>
      <w:r>
        <w:rPr>
          <w:rFonts w:ascii="Arial" w:cs="Arial" w:eastAsia="Arial" w:hAnsi="Arial"/>
          <w:color w:val="1E2A16"/>
          <w:sz w:val="22"/>
          <w:szCs w:val="22"/>
        </w:rPr>
        <w:t xml:space="preserve">3. Instituto Nacional de Estadística y Censos (INDEC). Proyecciones de población. Available at: https://www.indec.gob.ar/indec/web/Nivel4-Tema-2-24-84</w:t>
      </w:r>
    </w:p>
    <w:p>
      <w:pPr>
        <w:spacing w:before="80" w:after="80"/>
      </w:pPr>
      <w:r>
        <w:t xml:space="preserve"/>
      </w:r>
    </w:p>
    <w:p>
      <w:pPr>
        <w:pBdr>
          <w:bottom w:val="single" w:color="324027" w:sz="6" w:space="1"/>
        </w:pBdr>
        <w:spacing w:before="200" w:after="200"/>
      </w:pPr>
      <w:r>
        <w:t xml:space="preserve"/>
      </w:r>
    </w:p>
    <w:p>
      <w:pPr>
        <w:spacing w:before="160" w:after="80"/>
      </w:pPr>
      <w:r>
        <w:rPr>
          <w:rFonts w:ascii="Arial" w:cs="Arial" w:eastAsia="Arial" w:hAnsi="Arial"/>
          <w:i/>
          <w:iCs/>
          <w:color w:val="888888"/>
          <w:sz w:val="18"/>
          <w:szCs w:val="18"/>
        </w:rPr>
        <w:t xml:space="preserve">This guide describes the platform as deployed at branch review/three-month-2026-03 (March 2026). A revised and complete guide will accompany the final submission of Product 2. For technical documentation covering installation, deployment, and module architecture, refer to the companion Implementation Guide (Product 3a).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24027" w:sz="4" w:space="1"/>
      </w:pBdr>
      <w:tabs>
        <w:tab w:val="right" w:pos="9026"/>
      </w:tabs>
      <w:spacing w:before="120"/>
    </w:pPr>
    <w:r>
      <w:rPr>
        <w:rFonts w:ascii="Arial" w:cs="Arial" w:eastAsia="Arial" w:hAnsi="Arial"/>
        <w:color w:val="48553F"/>
        <w:sz w:val="18"/>
        <w:szCs w:val="18"/>
      </w:rPr>
      <w:t xml:space="preserve">CEMIC · Funded by Wellcome · March 2026</w:t>
    </w:r>
    <w:r>
      <w:rPr>
        <w:rFonts w:ascii="Arial" w:cs="Arial" w:eastAsia="Arial" w:hAnsi="Arial"/>
        <w:sz w:val="18"/>
        <w:szCs w:val="18"/>
      </w:rPr>
      <w:t xml:space="preserve">	</w:t>
    </w:r>
    <w:r>
      <w:rPr>
        <w:rFonts w:ascii="Arial" w:cs="Arial" w:eastAsia="Arial" w:hAnsi="Arial"/>
        <w:color w:val="AAAAAA"/>
        <w:sz w:val="18"/>
        <w:szCs w:val="18"/>
      </w:rPr>
      <w:t xml:space="preserve">Page </w:t>
    </w:r>
    <w:fldSimple w:instr="PAGE">
      <w:r>
        <w:rPr>
          <w:rFonts w:ascii="Arial" w:cs="Arial" w:eastAsia="Arial" w:hAnsi="Arial"/>
          <w:color w:val="AAAAA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24027" w:sz="4" w:space="1"/>
      </w:pBdr>
      <w:spacing w:after="120"/>
    </w:pPr>
    <w:r>
      <w:rPr>
        <w:rFonts w:ascii="Arial" w:cs="Arial" w:eastAsia="Arial" w:hAnsi="Arial"/>
        <w:color w:val="48553F"/>
        <w:sz w:val="18"/>
        <w:szCs w:val="18"/>
      </w:rPr>
      <w:t xml:space="preserve">Pandemic Preparedness Toolkit — Argentina Unit · WP5</w:t>
    </w:r>
    <w:r>
      <w:rPr>
        <w:rFonts w:ascii="Arial" w:cs="Arial" w:eastAsia="Arial" w:hAnsi="Arial"/>
        <w:color w:val="AAAAAA"/>
        <w:sz w:val="18"/>
        <w:szCs w:val="18"/>
      </w:rPr>
      <w:t xml:space="preserve">   |   </w:t>
    </w:r>
    <w:r>
      <w:rPr>
        <w:rFonts w:ascii="Arial" w:cs="Arial" w:eastAsia="Arial" w:hAnsi="Arial"/>
        <w:b/>
        <w:bCs/>
        <w:color w:val="324027"/>
        <w:sz w:val="18"/>
        <w:szCs w:val="18"/>
      </w:rPr>
      <w:t xml:space="preserve">Product 3b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324027"/>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48553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8553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2026-03-26T02:29:39.480Z</dcterms:created>
  <dcterms:modified xsi:type="dcterms:W3CDTF">2026-03-26T02:29:39.481Z</dcterms:modified>
</cp:coreProperties>
</file>

<file path=docProps/custom.xml><?xml version="1.0" encoding="utf-8"?>
<Properties xmlns="http://schemas.openxmlformats.org/officeDocument/2006/custom-properties" xmlns:vt="http://schemas.openxmlformats.org/officeDocument/2006/docPropsVTypes"/>
</file>