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Fonts w:ascii="Arial Unicode MS" w:cs="Arial Unicode MS" w:eastAsia="Arial Unicode MS" w:hAnsi="Arial Unicode MS"/>
          <w:b w:val="1"/>
          <w:sz w:val="36"/>
          <w:szCs w:val="36"/>
          <w:rtl w:val="0"/>
        </w:rPr>
        <w:t xml:space="preserve">框架：</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问题类型：单因子/多因子</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投资标的：股指</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EDA</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数据特点</w:t>
      </w:r>
    </w:p>
    <w:p w:rsidR="00000000" w:rsidDel="00000000" w:rsidP="00000000" w:rsidRDefault="00000000" w:rsidRPr="00000000" w14:paraId="00000007">
      <w:pPr>
        <w:numPr>
          <w:ilvl w:val="2"/>
          <w:numId w:val="1"/>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常用方法</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策略考虑方面</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确定因子</w:t>
      </w:r>
    </w:p>
    <w:p w:rsidR="00000000" w:rsidDel="00000000" w:rsidP="00000000" w:rsidRDefault="00000000" w:rsidRPr="00000000" w14:paraId="0000000A">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color w:val="191919"/>
          <w:sz w:val="24"/>
          <w:szCs w:val="24"/>
          <w:highlight w:val="white"/>
          <w:rtl w:val="0"/>
        </w:rPr>
        <w:t xml:space="preserve">基本面因子</w:t>
      </w:r>
    </w:p>
    <w:p w:rsidR="00000000" w:rsidDel="00000000" w:rsidP="00000000" w:rsidRDefault="00000000" w:rsidRPr="00000000" w14:paraId="0000000B">
      <w:pPr>
        <w:numPr>
          <w:ilvl w:val="3"/>
          <w:numId w:val="1"/>
        </w:numPr>
        <w:ind w:left="2880" w:hanging="360"/>
        <w:rPr>
          <w:sz w:val="24"/>
          <w:szCs w:val="24"/>
          <w:u w:val="none"/>
        </w:rPr>
      </w:pPr>
      <w:r w:rsidDel="00000000" w:rsidR="00000000" w:rsidRPr="00000000">
        <w:rPr>
          <w:rFonts w:ascii="Arial Unicode MS" w:cs="Arial Unicode MS" w:eastAsia="Arial Unicode MS" w:hAnsi="Arial Unicode MS"/>
          <w:color w:val="191919"/>
          <w:sz w:val="24"/>
          <w:szCs w:val="24"/>
          <w:highlight w:val="white"/>
          <w:rtl w:val="0"/>
        </w:rPr>
        <w:t xml:space="preserve">规模因子</w:t>
      </w:r>
    </w:p>
    <w:p w:rsidR="00000000" w:rsidDel="00000000" w:rsidP="00000000" w:rsidRDefault="00000000" w:rsidRPr="00000000" w14:paraId="0000000C">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总市值 TotalAsset</w:t>
      </w:r>
    </w:p>
    <w:p w:rsidR="00000000" w:rsidDel="00000000" w:rsidP="00000000" w:rsidRDefault="00000000" w:rsidRPr="00000000" w14:paraId="0000000D">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总股本 TotalShares</w:t>
      </w:r>
    </w:p>
    <w:p w:rsidR="00000000" w:rsidDel="00000000" w:rsidP="00000000" w:rsidRDefault="00000000" w:rsidRPr="00000000" w14:paraId="0000000E">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流通股本 LiquidShares</w:t>
      </w:r>
    </w:p>
    <w:p w:rsidR="00000000" w:rsidDel="00000000" w:rsidP="00000000" w:rsidRDefault="00000000" w:rsidRPr="00000000" w14:paraId="0000000F">
      <w:pPr>
        <w:numPr>
          <w:ilvl w:val="3"/>
          <w:numId w:val="1"/>
        </w:numPr>
        <w:ind w:left="2880" w:hanging="360"/>
        <w:rPr>
          <w:sz w:val="24"/>
          <w:szCs w:val="24"/>
          <w:u w:val="none"/>
        </w:rPr>
      </w:pPr>
      <w:r w:rsidDel="00000000" w:rsidR="00000000" w:rsidRPr="00000000">
        <w:rPr>
          <w:rFonts w:ascii="Arial Unicode MS" w:cs="Arial Unicode MS" w:eastAsia="Arial Unicode MS" w:hAnsi="Arial Unicode MS"/>
          <w:color w:val="191919"/>
          <w:sz w:val="24"/>
          <w:szCs w:val="24"/>
          <w:highlight w:val="white"/>
          <w:rtl w:val="0"/>
        </w:rPr>
        <w:t xml:space="preserve">估值因子</w:t>
      </w:r>
    </w:p>
    <w:p w:rsidR="00000000" w:rsidDel="00000000" w:rsidP="00000000" w:rsidRDefault="00000000" w:rsidRPr="00000000" w14:paraId="00000010">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市盈率（TTM）PE</w:t>
      </w:r>
    </w:p>
    <w:p w:rsidR="00000000" w:rsidDel="00000000" w:rsidP="00000000" w:rsidRDefault="00000000" w:rsidRPr="00000000" w14:paraId="00000011">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市净率（上年年报）PB</w:t>
      </w:r>
    </w:p>
    <w:p w:rsidR="00000000" w:rsidDel="00000000" w:rsidP="00000000" w:rsidRDefault="00000000" w:rsidRPr="00000000" w14:paraId="00000012">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市销率（TTM）PS</w:t>
      </w:r>
    </w:p>
    <w:p w:rsidR="00000000" w:rsidDel="00000000" w:rsidP="00000000" w:rsidRDefault="00000000" w:rsidRPr="00000000" w14:paraId="00000013">
      <w:pPr>
        <w:numPr>
          <w:ilvl w:val="3"/>
          <w:numId w:val="1"/>
        </w:numPr>
        <w:ind w:left="2880" w:hanging="360"/>
        <w:rPr>
          <w:sz w:val="24"/>
          <w:szCs w:val="24"/>
          <w:u w:val="none"/>
        </w:rPr>
      </w:pPr>
      <w:r w:rsidDel="00000000" w:rsidR="00000000" w:rsidRPr="00000000">
        <w:rPr>
          <w:rFonts w:ascii="Arial Unicode MS" w:cs="Arial Unicode MS" w:eastAsia="Arial Unicode MS" w:hAnsi="Arial Unicode MS"/>
          <w:color w:val="191919"/>
          <w:sz w:val="24"/>
          <w:szCs w:val="24"/>
          <w:highlight w:val="white"/>
          <w:rtl w:val="0"/>
        </w:rPr>
        <w:t xml:space="preserve">成长因子</w:t>
      </w:r>
    </w:p>
    <w:p w:rsidR="00000000" w:rsidDel="00000000" w:rsidP="00000000" w:rsidRDefault="00000000" w:rsidRPr="00000000" w14:paraId="00000014">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营收增长率 OperatingProfitsGrowth</w:t>
      </w:r>
    </w:p>
    <w:p w:rsidR="00000000" w:rsidDel="00000000" w:rsidP="00000000" w:rsidRDefault="00000000" w:rsidRPr="00000000" w14:paraId="00000015">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净利润增长率 NetProfitsGrowth</w:t>
      </w:r>
    </w:p>
    <w:p w:rsidR="00000000" w:rsidDel="00000000" w:rsidP="00000000" w:rsidRDefault="00000000" w:rsidRPr="00000000" w14:paraId="00000016">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经营活动产生的现金流量净额增长率 NCFOAGProfitsGrowth</w:t>
      </w:r>
    </w:p>
    <w:p w:rsidR="00000000" w:rsidDel="00000000" w:rsidP="00000000" w:rsidRDefault="00000000" w:rsidRPr="00000000" w14:paraId="00000017">
      <w:pPr>
        <w:numPr>
          <w:ilvl w:val="3"/>
          <w:numId w:val="1"/>
        </w:numPr>
        <w:ind w:left="2880" w:hanging="360"/>
        <w:rPr>
          <w:sz w:val="24"/>
          <w:szCs w:val="24"/>
          <w:u w:val="none"/>
        </w:rPr>
      </w:pPr>
      <w:r w:rsidDel="00000000" w:rsidR="00000000" w:rsidRPr="00000000">
        <w:rPr>
          <w:rFonts w:ascii="Arial Unicode MS" w:cs="Arial Unicode MS" w:eastAsia="Arial Unicode MS" w:hAnsi="Arial Unicode MS"/>
          <w:color w:val="191919"/>
          <w:sz w:val="24"/>
          <w:szCs w:val="24"/>
          <w:highlight w:val="white"/>
          <w:rtl w:val="0"/>
        </w:rPr>
        <w:t xml:space="preserve">盈利因子</w:t>
      </w:r>
    </w:p>
    <w:p w:rsidR="00000000" w:rsidDel="00000000" w:rsidP="00000000" w:rsidRDefault="00000000" w:rsidRPr="00000000" w14:paraId="00000018">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净资产收益率 ROE</w:t>
      </w:r>
    </w:p>
    <w:p w:rsidR="00000000" w:rsidDel="00000000" w:rsidP="00000000" w:rsidRDefault="00000000" w:rsidRPr="00000000" w14:paraId="00000019">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总资产报酬率 ROA</w:t>
      </w:r>
    </w:p>
    <w:p w:rsidR="00000000" w:rsidDel="00000000" w:rsidP="00000000" w:rsidRDefault="00000000" w:rsidRPr="00000000" w14:paraId="0000001A">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销售毛利率 GrossOperatingMargin</w:t>
      </w:r>
    </w:p>
    <w:p w:rsidR="00000000" w:rsidDel="00000000" w:rsidP="00000000" w:rsidRDefault="00000000" w:rsidRPr="00000000" w14:paraId="0000001B">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销售净利率 NetOperatingMargin</w:t>
      </w:r>
    </w:p>
    <w:p w:rsidR="00000000" w:rsidDel="00000000" w:rsidP="00000000" w:rsidRDefault="00000000" w:rsidRPr="00000000" w14:paraId="0000001C">
      <w:pPr>
        <w:numPr>
          <w:ilvl w:val="3"/>
          <w:numId w:val="1"/>
        </w:numPr>
        <w:ind w:left="2880" w:hanging="360"/>
        <w:rPr>
          <w:sz w:val="24"/>
          <w:szCs w:val="24"/>
          <w:u w:val="none"/>
        </w:rPr>
      </w:pPr>
      <w:r w:rsidDel="00000000" w:rsidR="00000000" w:rsidRPr="00000000">
        <w:rPr>
          <w:rFonts w:ascii="Arial Unicode MS" w:cs="Arial Unicode MS" w:eastAsia="Arial Unicode MS" w:hAnsi="Arial Unicode MS"/>
          <w:color w:val="191919"/>
          <w:sz w:val="24"/>
          <w:szCs w:val="24"/>
          <w:highlight w:val="white"/>
          <w:rtl w:val="0"/>
        </w:rPr>
        <w:t xml:space="preserve">偿债能力因子</w:t>
      </w:r>
    </w:p>
    <w:p w:rsidR="00000000" w:rsidDel="00000000" w:rsidP="00000000" w:rsidRDefault="00000000" w:rsidRPr="00000000" w14:paraId="0000001D">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资产负债率 LbtToAssets</w:t>
      </w:r>
    </w:p>
    <w:p w:rsidR="00000000" w:rsidDel="00000000" w:rsidP="00000000" w:rsidRDefault="00000000" w:rsidRPr="00000000" w14:paraId="0000001E">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利息保障倍数 TimesInterestEarned</w:t>
      </w:r>
    </w:p>
    <w:p w:rsidR="00000000" w:rsidDel="00000000" w:rsidP="00000000" w:rsidRDefault="00000000" w:rsidRPr="00000000" w14:paraId="0000001F">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每股企业自由现金流 FreeCashFlowPS</w:t>
      </w:r>
    </w:p>
    <w:p w:rsidR="00000000" w:rsidDel="00000000" w:rsidP="00000000" w:rsidRDefault="00000000" w:rsidRPr="00000000" w14:paraId="00000020">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color w:val="191919"/>
          <w:sz w:val="24"/>
          <w:szCs w:val="24"/>
          <w:highlight w:val="white"/>
          <w:rtl w:val="0"/>
        </w:rPr>
        <w:t xml:space="preserve">技术因子</w:t>
      </w:r>
    </w:p>
    <w:p w:rsidR="00000000" w:rsidDel="00000000" w:rsidP="00000000" w:rsidRDefault="00000000" w:rsidRPr="00000000" w14:paraId="00000021">
      <w:pPr>
        <w:numPr>
          <w:ilvl w:val="3"/>
          <w:numId w:val="1"/>
        </w:numPr>
        <w:ind w:left="2880" w:hanging="360"/>
        <w:rPr>
          <w:sz w:val="24"/>
          <w:szCs w:val="24"/>
          <w:u w:val="none"/>
        </w:rPr>
      </w:pPr>
      <w:r w:rsidDel="00000000" w:rsidR="00000000" w:rsidRPr="00000000">
        <w:rPr>
          <w:rFonts w:ascii="Arial Unicode MS" w:cs="Arial Unicode MS" w:eastAsia="Arial Unicode MS" w:hAnsi="Arial Unicode MS"/>
          <w:color w:val="191919"/>
          <w:sz w:val="24"/>
          <w:szCs w:val="24"/>
          <w:highlight w:val="white"/>
          <w:rtl w:val="0"/>
        </w:rPr>
        <w:t xml:space="preserve">动量因子</w:t>
      </w:r>
    </w:p>
    <w:p w:rsidR="00000000" w:rsidDel="00000000" w:rsidP="00000000" w:rsidRDefault="00000000" w:rsidRPr="00000000" w14:paraId="00000022">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1个月动量因子 Momentum1M</w:t>
      </w:r>
    </w:p>
    <w:p w:rsidR="00000000" w:rsidDel="00000000" w:rsidP="00000000" w:rsidRDefault="00000000" w:rsidRPr="00000000" w14:paraId="00000023">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3个月动量因子 Momentum3M</w:t>
      </w:r>
    </w:p>
    <w:p w:rsidR="00000000" w:rsidDel="00000000" w:rsidP="00000000" w:rsidRDefault="00000000" w:rsidRPr="00000000" w14:paraId="00000024">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6个月动量因子 Momentum6M</w:t>
      </w:r>
    </w:p>
    <w:p w:rsidR="00000000" w:rsidDel="00000000" w:rsidP="00000000" w:rsidRDefault="00000000" w:rsidRPr="00000000" w14:paraId="00000025">
      <w:pPr>
        <w:numPr>
          <w:ilvl w:val="3"/>
          <w:numId w:val="1"/>
        </w:numPr>
        <w:ind w:left="2880" w:hanging="360"/>
        <w:rPr>
          <w:sz w:val="24"/>
          <w:szCs w:val="24"/>
          <w:u w:val="none"/>
        </w:rPr>
      </w:pPr>
      <w:r w:rsidDel="00000000" w:rsidR="00000000" w:rsidRPr="00000000">
        <w:rPr>
          <w:rFonts w:ascii="Arial Unicode MS" w:cs="Arial Unicode MS" w:eastAsia="Arial Unicode MS" w:hAnsi="Arial Unicode MS"/>
          <w:color w:val="191919"/>
          <w:sz w:val="24"/>
          <w:szCs w:val="24"/>
          <w:highlight w:val="white"/>
          <w:rtl w:val="0"/>
        </w:rPr>
        <w:t xml:space="preserve">换手因子</w:t>
      </w:r>
    </w:p>
    <w:p w:rsidR="00000000" w:rsidDel="00000000" w:rsidP="00000000" w:rsidRDefault="00000000" w:rsidRPr="00000000" w14:paraId="00000026">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周换手率 WeeklyTradingTurnover</w:t>
      </w:r>
    </w:p>
    <w:p w:rsidR="00000000" w:rsidDel="00000000" w:rsidP="00000000" w:rsidRDefault="00000000" w:rsidRPr="00000000" w14:paraId="00000027">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月换手率 MonthlyTradingTurnover</w:t>
      </w:r>
    </w:p>
    <w:p w:rsidR="00000000" w:rsidDel="00000000" w:rsidP="00000000" w:rsidRDefault="00000000" w:rsidRPr="00000000" w14:paraId="00000028">
      <w:pPr>
        <w:numPr>
          <w:ilvl w:val="4"/>
          <w:numId w:val="1"/>
        </w:numPr>
        <w:ind w:left="360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资金流量指标 MoneyFlowIndex</w:t>
      </w:r>
    </w:p>
    <w:p w:rsidR="00000000" w:rsidDel="00000000" w:rsidP="00000000" w:rsidRDefault="00000000" w:rsidRPr="00000000" w14:paraId="00000029">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color w:val="191919"/>
          <w:sz w:val="24"/>
          <w:szCs w:val="24"/>
          <w:highlight w:val="white"/>
          <w:rtl w:val="0"/>
        </w:rPr>
        <w:t xml:space="preserve">行为因子</w:t>
      </w:r>
    </w:p>
    <w:p w:rsidR="00000000" w:rsidDel="00000000" w:rsidP="00000000" w:rsidRDefault="00000000" w:rsidRPr="00000000" w14:paraId="0000002A">
      <w:pPr>
        <w:numPr>
          <w:ilvl w:val="3"/>
          <w:numId w:val="1"/>
        </w:numPr>
        <w:ind w:left="288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反应程度 ActIndicator</w:t>
      </w:r>
    </w:p>
    <w:p w:rsidR="00000000" w:rsidDel="00000000" w:rsidP="00000000" w:rsidRDefault="00000000" w:rsidRPr="00000000" w14:paraId="0000002B">
      <w:pPr>
        <w:numPr>
          <w:ilvl w:val="3"/>
          <w:numId w:val="1"/>
        </w:numPr>
        <w:ind w:left="288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分析师预测一致性 AnalystConsistentF</w:t>
      </w:r>
    </w:p>
    <w:p w:rsidR="00000000" w:rsidDel="00000000" w:rsidP="00000000" w:rsidRDefault="00000000" w:rsidRPr="00000000" w14:paraId="0000002C">
      <w:pPr>
        <w:numPr>
          <w:ilvl w:val="3"/>
          <w:numId w:val="1"/>
        </w:numPr>
        <w:ind w:left="288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风险偏好 RiskPreference</w:t>
      </w:r>
    </w:p>
    <w:p w:rsidR="00000000" w:rsidDel="00000000" w:rsidP="00000000" w:rsidRDefault="00000000" w:rsidRPr="00000000" w14:paraId="0000002D">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color w:val="191919"/>
          <w:sz w:val="24"/>
          <w:szCs w:val="24"/>
          <w:highlight w:val="white"/>
          <w:rtl w:val="0"/>
        </w:rPr>
        <w:t xml:space="preserve">（分析师）市场预测因子</w:t>
      </w:r>
    </w:p>
    <w:p w:rsidR="00000000" w:rsidDel="00000000" w:rsidP="00000000" w:rsidRDefault="00000000" w:rsidRPr="00000000" w14:paraId="0000002E">
      <w:pPr>
        <w:numPr>
          <w:ilvl w:val="3"/>
          <w:numId w:val="1"/>
        </w:numPr>
        <w:ind w:left="288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分析师预测市盈率 PEF</w:t>
      </w:r>
    </w:p>
    <w:p w:rsidR="00000000" w:rsidDel="00000000" w:rsidP="00000000" w:rsidRDefault="00000000" w:rsidRPr="00000000" w14:paraId="0000002F">
      <w:pPr>
        <w:numPr>
          <w:ilvl w:val="3"/>
          <w:numId w:val="1"/>
        </w:numPr>
        <w:ind w:left="2880" w:hanging="360"/>
        <w:rPr>
          <w:color w:val="191919"/>
          <w:sz w:val="24"/>
          <w:szCs w:val="24"/>
          <w:highlight w:val="white"/>
          <w:u w:val="none"/>
        </w:rPr>
      </w:pPr>
      <w:r w:rsidDel="00000000" w:rsidR="00000000" w:rsidRPr="00000000">
        <w:rPr>
          <w:rFonts w:ascii="Arial Unicode MS" w:cs="Arial Unicode MS" w:eastAsia="Arial Unicode MS" w:hAnsi="Arial Unicode MS"/>
          <w:color w:val="191919"/>
          <w:sz w:val="24"/>
          <w:szCs w:val="24"/>
          <w:highlight w:val="white"/>
          <w:rtl w:val="0"/>
        </w:rPr>
        <w:t xml:space="preserve">分析师预测EPS增长率 EPSFGrowth</w:t>
      </w:r>
    </w:p>
    <w:p w:rsidR="00000000" w:rsidDel="00000000" w:rsidP="00000000" w:rsidRDefault="00000000" w:rsidRPr="00000000" w14:paraId="00000030">
      <w:pPr>
        <w:numPr>
          <w:ilvl w:val="1"/>
          <w:numId w:val="1"/>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机器学习</w:t>
      </w:r>
    </w:p>
    <w:p w:rsidR="00000000" w:rsidDel="00000000" w:rsidP="00000000" w:rsidRDefault="00000000" w:rsidRPr="00000000" w14:paraId="00000031">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输入：指数历史数据</w:t>
      </w:r>
    </w:p>
    <w:p w:rsidR="00000000" w:rsidDel="00000000" w:rsidP="00000000" w:rsidRDefault="00000000" w:rsidRPr="00000000" w14:paraId="00000032">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损失函数</w:t>
      </w:r>
    </w:p>
    <w:p w:rsidR="00000000" w:rsidDel="00000000" w:rsidP="00000000" w:rsidRDefault="00000000" w:rsidRPr="00000000" w14:paraId="00000033">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优化算法：</w:t>
      </w:r>
    </w:p>
    <w:p w:rsidR="00000000" w:rsidDel="00000000" w:rsidP="00000000" w:rsidRDefault="00000000" w:rsidRPr="00000000" w14:paraId="00000034">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输出：portfolio、action</w:t>
      </w:r>
    </w:p>
    <w:p w:rsidR="00000000" w:rsidDel="00000000" w:rsidP="00000000" w:rsidRDefault="00000000" w:rsidRPr="00000000" w14:paraId="00000035">
      <w:pPr>
        <w:numPr>
          <w:ilvl w:val="1"/>
          <w:numId w:val="1"/>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回测</w:t>
      </w:r>
    </w:p>
    <w:p w:rsidR="00000000" w:rsidDel="00000000" w:rsidP="00000000" w:rsidRDefault="00000000" w:rsidRPr="00000000" w14:paraId="00000037">
      <w:pPr>
        <w:numPr>
          <w:ilvl w:val="1"/>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如何评价策略好坏</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总结：</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b w:val="1"/>
          <w:sz w:val="36"/>
          <w:szCs w:val="36"/>
          <w:rtl w:val="0"/>
        </w:rPr>
        <w:t xml:space="preserve">Insights:</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rFonts w:ascii="Microsoft Yahei" w:cs="Microsoft Yahei" w:eastAsia="Microsoft Yahei" w:hAnsi="Microsoft Yahei"/>
          <w:color w:val="4d4f53"/>
          <w:sz w:val="24"/>
          <w:szCs w:val="24"/>
          <w:rtl w:val="0"/>
        </w:rPr>
        <w:t xml:space="preserve">大类资产配置的核心是获取资产的Beta收益，而资产的beta收益，不仅来源于主动承担的市场系统性风险，还来源于主动承担的某类风格暴露带来的收益。经典的Carhart模型把股票市场的收益拆解为4类来源，即市场收益，规模因子收益、价值因子收益以及动量因子收益，后三者即为主要的风格收益来源，而对于风格因子的投资，即为SmartBeta的投资思路。</w:t>
      </w:r>
    </w:p>
    <w:p w:rsidR="00000000" w:rsidDel="00000000" w:rsidP="00000000" w:rsidRDefault="00000000" w:rsidRPr="00000000" w14:paraId="0000003D">
      <w:pPr>
        <w:numPr>
          <w:ilvl w:val="0"/>
          <w:numId w:val="2"/>
        </w:numPr>
        <w:ind w:left="720" w:hanging="360"/>
        <w:rPr>
          <w:rFonts w:ascii="Microsoft Yahei" w:cs="Microsoft Yahei" w:eastAsia="Microsoft Yahei" w:hAnsi="Microsoft Yahei"/>
          <w:color w:val="4d4f53"/>
          <w:sz w:val="24"/>
          <w:szCs w:val="24"/>
          <w:u w:val="none"/>
        </w:rPr>
      </w:pPr>
      <w:r w:rsidDel="00000000" w:rsidR="00000000" w:rsidRPr="00000000">
        <w:rPr>
          <w:rFonts w:ascii="Microsoft Yahei" w:cs="Microsoft Yahei" w:eastAsia="Microsoft Yahei" w:hAnsi="Microsoft Yahei"/>
          <w:b w:val="1"/>
          <w:color w:val="4e4e4e"/>
          <w:sz w:val="21"/>
          <w:szCs w:val="21"/>
          <w:highlight w:val="white"/>
          <w:rtl w:val="0"/>
        </w:rPr>
        <w:t xml:space="preserve">波动率商（因子）：</w:t>
      </w:r>
      <w:r w:rsidDel="00000000" w:rsidR="00000000" w:rsidRPr="00000000">
        <w:rPr>
          <w:rFonts w:ascii="Microsoft Yahei" w:cs="Microsoft Yahei" w:eastAsia="Microsoft Yahei" w:hAnsi="Microsoft Yahei"/>
          <w:color w:val="4e4e4e"/>
          <w:sz w:val="21"/>
          <w:szCs w:val="21"/>
          <w:highlight w:val="white"/>
          <w:rtl w:val="0"/>
        </w:rPr>
        <w:t xml:space="preserve">Merton(1980)在研究中提到,用证券收益率减去无风险利率所衡量的市场风险溢价与市场组合的方差直接相关。假设预期现金流不变,预期波动率的上升会使风险溢价和折现因子上升,股价会下跌。所以,预期波动率被认为是风险溢价变动的驱动因素。而投资者对风险溢价的考量正是风格轮换的重要因素。虽然,国内市场没有预期波动率指标,但是国外数据显示历史波动率和预期波动率高度相关,我们用历史波动率做代理指标有合理性。所以,从这个逻辑来看,市场指数历史波动率的变动,是用来做风格择时的有效变量。</w:t>
        <w:tab/>
        <w:t xml:space="preserve">市场组合波动率的计算利用上证指数日频收益率序列,“波动率熵”指标采用样本熵算法。通过大盘价值(V)与大盘成长(G)日频收益率序列差值和滞后一期样本熵序列的回归分析显示,无论是截距项还是系数都有很好的显著性,且系数的T 值随着V-G 组合持有天数的增加逐渐增加,说明出波动率熵指标具备很好的预测性,并且是一个很强的领先指标。</w:t>
        <w:tab/>
        <w:t xml:space="preserve">利用波动率熵指标和收益率序列具有线性相关性的特性,采取设定不同阈值的规则来买入V-G 组合进行探索,我们选择在波动率熵指标小于滞后120天的波动率熵序列均值减去1.5倍标准差的时候买入V-G 组合,即此时我们判断未来50个交易日为价值风格。我们给这个策略命名为“波动率熵策略”。</w:t>
      </w:r>
    </w:p>
    <w:p w:rsidR="00000000" w:rsidDel="00000000" w:rsidP="00000000" w:rsidRDefault="00000000" w:rsidRPr="00000000" w14:paraId="0000003E">
      <w:pPr>
        <w:numPr>
          <w:ilvl w:val="0"/>
          <w:numId w:val="2"/>
        </w:numPr>
        <w:ind w:left="720" w:hanging="360"/>
        <w:rPr>
          <w:rFonts w:ascii="Microsoft Yahei" w:cs="Microsoft Yahei" w:eastAsia="Microsoft Yahei" w:hAnsi="Microsoft Yahei"/>
          <w:color w:val="4e4e4e"/>
          <w:sz w:val="21"/>
          <w:szCs w:val="21"/>
          <w:highlight w:val="white"/>
          <w:u w:val="none"/>
        </w:rPr>
      </w:pPr>
      <w:r w:rsidDel="00000000" w:rsidR="00000000" w:rsidRPr="00000000">
        <w:rPr>
          <w:rFonts w:ascii="Microsoft Yahei" w:cs="Microsoft Yahei" w:eastAsia="Microsoft Yahei" w:hAnsi="Microsoft Yahei"/>
          <w:color w:val="4e4e4e"/>
          <w:sz w:val="21"/>
          <w:szCs w:val="21"/>
          <w:highlight w:val="white"/>
          <w:rtl w:val="0"/>
        </w:rPr>
        <w:t xml:space="preserve">IC计算：</w:t>
      </w:r>
      <w:r w:rsidDel="00000000" w:rsidR="00000000" w:rsidRPr="00000000">
        <w:rPr>
          <w:rFonts w:ascii="Microsoft Yahei" w:cs="Microsoft Yahei" w:eastAsia="Microsoft Yahei" w:hAnsi="Microsoft Yahei"/>
          <w:color w:val="1a1a1a"/>
          <w:sz w:val="23"/>
          <w:szCs w:val="23"/>
          <w:highlight w:val="white"/>
          <w:rtl w:val="0"/>
        </w:rPr>
        <w:t xml:space="preserve">加上行业哑变量和流通市值平方根加权，好像更合理。</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