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AC"/>
          <w:sz w:val="36"/>
        </w:rPr>
        <w:t>TouchRetouch — ASA Experiment Briefs &amp; Measurement Plan</w:t>
      </w:r>
    </w:p>
    <w:p>
      <w:r>
        <w:rPr>
          <w:i/>
          <w:color w:val="6B7280"/>
          <w:sz w:val="21"/>
        </w:rPr>
        <w:t>Companion to the strategy deck and the ROAS model workbook. Covers (A) the prioritised experiment backlog with full briefs, and (B) the measurement / attribution plan for iOS under ATT.</w:t>
      </w:r>
    </w:p>
    <w:p>
      <w:r>
        <w:rPr>
          <w:b/>
          <w:color w:val="1F2430"/>
          <w:sz w:val="26"/>
        </w:rPr>
        <w:t>Model anchor (read first)</w:t>
      </w:r>
    </w:p>
    <w:p>
      <w:pPr>
        <w:pStyle w:val="ListBullet"/>
      </w:pPr>
      <w:r>
        <w:rPr>
          <w:b/>
        </w:rPr>
        <w:t xml:space="preserve">Basis: </w:t>
      </w:r>
      <w:r>
        <w:t>Revenue is modelled on first-year ARPPU ($22.2, net of Apple fee). Rev/install = 15% × 20% × $22.2 = $0.666.</w:t>
      </w:r>
    </w:p>
    <w:p>
      <w:pPr>
        <w:pStyle w:val="ListBullet"/>
      </w:pPr>
      <w:r>
        <w:rPr>
          <w:b/>
        </w:rPr>
        <w:t xml:space="preserve">Why: </w:t>
      </w:r>
      <w:r>
        <w:t>This is the SAME basis as the task's '~100% ROAS at month 1' anchor, so 'ROAS (gate)' in the model is comparable to the 125% requirement.</w:t>
      </w:r>
    </w:p>
    <w:p>
      <w:pPr>
        <w:pStyle w:val="ListBullet"/>
      </w:pPr>
      <w:r>
        <w:rPr>
          <w:b/>
        </w:rPr>
        <w:t xml:space="preserve">Caveat: </w:t>
      </w:r>
      <w:r>
        <w:t>Real cash recognised by day 30 is a fraction of Y1 — the 'D30 cash ROAS' column is informational until we replace the 0.45 placeholder with RevenueCat's real D30/Y1 curve.</w:t>
      </w:r>
    </w:p>
    <w:p>
      <w:r>
        <w:rPr>
          <w:b/>
          <w:color w:val="2E5AAC"/>
          <w:sz w:val="36"/>
        </w:rPr>
        <w:t>Part A — Experiment backlog (prioritised)</w:t>
      </w:r>
    </w:p>
    <w:p>
      <w:r>
        <w:rPr>
          <w:i/>
          <w:color w:val="6B7280"/>
          <w:sz w:val="21"/>
        </w:rPr>
        <w:t>Prioritised by revenue unlock × confidence × ease (ICE). Each brief states hypothesis, design, target KPI, minimum runtime, and success/kill criteria. Kill fast, scale winners.</w:t>
      </w:r>
    </w:p>
    <w:p>
      <w:r>
        <w:rPr>
          <w:b/>
          <w:color w:val="1F2430"/>
          <w:sz w:val="26"/>
        </w:rPr>
        <w:t>EXP-1 · Brand bid cap + incrementality pause test  (Priority: HIGHEST)</w:t>
      </w:r>
    </w:p>
    <w:p>
      <w:pPr>
        <w:pStyle w:val="ListBullet"/>
      </w:pPr>
      <w:r>
        <w:rPr>
          <w:b/>
        </w:rPr>
        <w:t xml:space="preserve">Hypothesis: </w:t>
      </w:r>
      <w:r>
        <w:t>Brand is 58% of spend with max bids €25–35 against actual CPTs of €1.2–1.9. Much of this is organic traffic we already win #1 for. Capping bids and running a pause test reveals how much brand paid spend is truly incremental.</w:t>
      </w:r>
    </w:p>
    <w:p>
      <w:pPr>
        <w:pStyle w:val="ListBullet"/>
      </w:pPr>
      <w:r>
        <w:rPr>
          <w:b/>
        </w:rPr>
        <w:t xml:space="preserve">Design: </w:t>
      </w:r>
      <w:r>
        <w:t>Cap brand max CPT to ~€2–3. Then pause the brand campaign for 1–2 weeks and measure how much of the lost paid brand installs are recovered by organic (branded search). Use a clean before/after window; watch competitor brand-bidding.</w:t>
      </w:r>
    </w:p>
    <w:p>
      <w:pPr>
        <w:pStyle w:val="ListBullet"/>
      </w:pPr>
      <w:r>
        <w:rPr>
          <w:b/>
        </w:rPr>
        <w:t xml:space="preserve">Target KPI: </w:t>
      </w:r>
      <w:r>
        <w:t>Brand incremental installs; total (paid+organic) brand installs; blended CPI.</w:t>
      </w:r>
    </w:p>
    <w:p>
      <w:pPr>
        <w:pStyle w:val="ListBullet"/>
      </w:pPr>
      <w:r>
        <w:rPr>
          <w:b/>
        </w:rPr>
        <w:t xml:space="preserve">Min runtime: </w:t>
      </w:r>
      <w:r>
        <w:t>2 weeks pause (min) + 1 week read.</w:t>
      </w:r>
    </w:p>
    <w:p>
      <w:pPr>
        <w:pStyle w:val="ListBullet"/>
      </w:pPr>
      <w:r>
        <w:rPr>
          <w:b/>
        </w:rPr>
        <w:t xml:space="preserve">Success / Kill: </w:t>
      </w:r>
      <w:r>
        <w:t>SUCCESS: organic backfills ≥70% of paused brand installs → keep brand bids capped permanently, reallocate freed budget to generic. KILL: organic recovers &lt;50% OR a competitor floods your brand term → restore a capped defensive bid.</w:t>
      </w:r>
    </w:p>
    <w:p>
      <w:r>
        <w:rPr>
          <w:b/>
          <w:color w:val="1F2430"/>
          <w:sz w:val="26"/>
        </w:rPr>
        <w:t>EXP-2 · Search Match isolation + negative flow  (Priority: HIGH)</w:t>
      </w:r>
    </w:p>
    <w:p>
      <w:pPr>
        <w:pStyle w:val="ListBullet"/>
      </w:pPr>
      <w:r>
        <w:rPr>
          <w:b/>
        </w:rPr>
        <w:t xml:space="preserve">Hypothesis: </w:t>
      </w:r>
      <w:r>
        <w:t>Search Match (31% of spend) runs inside generic campaigns with exact keywords and no negatives, so it cannibalises exact terms and runs semi-blind on Maximize Conversions.</w:t>
      </w:r>
    </w:p>
    <w:p>
      <w:pPr>
        <w:pStyle w:val="ListBullet"/>
      </w:pPr>
      <w:r>
        <w:rPr>
          <w:b/>
        </w:rPr>
        <w:t xml:space="preserve">Design: </w:t>
      </w:r>
      <w:r>
        <w:t>Move Search Match into its own Discovery campaign. Add all Core exact keywords as exact negatives to it. Harvest converting search terms into Core exact ad groups weekly.</w:t>
      </w:r>
    </w:p>
    <w:p>
      <w:pPr>
        <w:pStyle w:val="ListBullet"/>
      </w:pPr>
      <w:r>
        <w:rPr>
          <w:b/>
        </w:rPr>
        <w:t xml:space="preserve">Target KPI: </w:t>
      </w:r>
      <w:r>
        <w:t>Generic CPA; wasted spend %; net new keywords harvested.</w:t>
      </w:r>
    </w:p>
    <w:p>
      <w:pPr>
        <w:pStyle w:val="ListBullet"/>
      </w:pPr>
      <w:r>
        <w:rPr>
          <w:b/>
        </w:rPr>
        <w:t xml:space="preserve">Min runtime: </w:t>
      </w:r>
      <w:r>
        <w:t>3–4 weeks (SKAN postback lag).</w:t>
      </w:r>
    </w:p>
    <w:p>
      <w:pPr>
        <w:pStyle w:val="ListBullet"/>
      </w:pPr>
      <w:r>
        <w:rPr>
          <w:b/>
        </w:rPr>
        <w:t xml:space="preserve">Success / Kill: </w:t>
      </w:r>
      <w:r>
        <w:t>SUCCESS: generic CPA −15% at equal or higher install volume → make permanent. KILL: install volume drops &gt;20% with no CPA gain → revert / rebalance budgets.</w:t>
      </w:r>
    </w:p>
    <w:p>
      <w:r>
        <w:rPr>
          <w:b/>
          <w:color w:val="1F2430"/>
          <w:sz w:val="26"/>
        </w:rPr>
        <w:t>EXP-3 · Competitor conquesting in Search Results  (Priority: HIGH)</w:t>
      </w:r>
    </w:p>
    <w:p>
      <w:pPr>
        <w:pStyle w:val="ListBullet"/>
      </w:pPr>
      <w:r>
        <w:rPr>
          <w:b/>
        </w:rPr>
        <w:t xml:space="preserve">Hypothesis: </w:t>
      </w:r>
      <w:r>
        <w:t>The competitor campaign runs only on Product Pages (CPA €17 vs €0.75–2 elsewhere) and there is no keyword-level conquesting in Search Results — the highest-intent competitor placement.</w:t>
      </w:r>
    </w:p>
    <w:p>
      <w:pPr>
        <w:pStyle w:val="ListBullet"/>
      </w:pPr>
      <w:r>
        <w:rPr>
          <w:b/>
        </w:rPr>
        <w:t xml:space="preserve">Design: </w:t>
      </w:r>
      <w:r>
        <w:t>Launch a Competitor campaign on Search Results with exact competitor terms (facetune, snapseed, picsart, lightroom, youcam). Pair with the 'Competitor Switch' CPP. Rework or cut the Product Pages competitor.</w:t>
      </w:r>
    </w:p>
    <w:p>
      <w:pPr>
        <w:pStyle w:val="ListBullet"/>
      </w:pPr>
      <w:r>
        <w:rPr>
          <w:b/>
        </w:rPr>
        <w:t xml:space="preserve">Target KPI: </w:t>
      </w:r>
      <w:r>
        <w:t>CPA(trial) from competitor; incremental installs; Trial→Paid on competitor cohort.</w:t>
      </w:r>
    </w:p>
    <w:p>
      <w:pPr>
        <w:pStyle w:val="ListBullet"/>
      </w:pPr>
      <w:r>
        <w:rPr>
          <w:b/>
        </w:rPr>
        <w:t xml:space="preserve">Min runtime: </w:t>
      </w:r>
      <w:r>
        <w:t>3–4 weeks.</w:t>
      </w:r>
    </w:p>
    <w:p>
      <w:pPr>
        <w:pStyle w:val="ListBullet"/>
      </w:pPr>
      <w:r>
        <w:rPr>
          <w:b/>
        </w:rPr>
        <w:t xml:space="preserve">Success / Kill: </w:t>
      </w:r>
      <w:r>
        <w:t>SUCCESS: CPA(trial) ≤ target with positive incremental installs → scale. KILL: CPA &gt; generic × 1.5 with no volume benefit → pause, keep only best-performing terms.</w:t>
      </w:r>
    </w:p>
    <w:p>
      <w:r>
        <w:rPr>
          <w:b/>
          <w:color w:val="1F2430"/>
          <w:sz w:val="26"/>
        </w:rPr>
        <w:t>EXP-4 · CPP 'Object Cleanup' vs default page  (Priority: MEDIUM-HIGH)</w:t>
      </w:r>
    </w:p>
    <w:p>
      <w:pPr>
        <w:pStyle w:val="ListBullet"/>
      </w:pPr>
      <w:r>
        <w:rPr>
          <w:b/>
        </w:rPr>
        <w:t xml:space="preserve">Hypothesis: </w:t>
      </w:r>
      <w:r>
        <w:t>Generic/feature 'remove object' intent is served by the default page, not a tailored one. A CPP matched to the search intent should lift tap→install CR.</w:t>
      </w:r>
    </w:p>
    <w:p>
      <w:pPr>
        <w:pStyle w:val="ListBullet"/>
      </w:pPr>
      <w:r>
        <w:rPr>
          <w:b/>
        </w:rPr>
        <w:t xml:space="preserve">Design: </w:t>
      </w:r>
      <w:r>
        <w:t>Serve the 'Object Cleanup' CPP (before/after object-removal screenshots, one-tap erase preview) to the object-removal / magic-eraser ad groups via ASA ad variations. Compare against the default page on the same terms.</w:t>
      </w:r>
    </w:p>
    <w:p>
      <w:pPr>
        <w:pStyle w:val="ListBullet"/>
      </w:pPr>
      <w:r>
        <w:rPr>
          <w:b/>
        </w:rPr>
        <w:t xml:space="preserve">Target KPI: </w:t>
      </w:r>
      <w:r>
        <w:t>tap→install CR; trial-start rate; CPA(trial) by page.</w:t>
      </w:r>
    </w:p>
    <w:p>
      <w:pPr>
        <w:pStyle w:val="ListBullet"/>
      </w:pPr>
      <w:r>
        <w:rPr>
          <w:b/>
        </w:rPr>
        <w:t xml:space="preserve">Min runtime: </w:t>
      </w:r>
      <w:r>
        <w:t>Until ~9,000 impressions/variant or 2 weeks (for ~10% lift at 80% power).</w:t>
      </w:r>
    </w:p>
    <w:p>
      <w:pPr>
        <w:pStyle w:val="ListBullet"/>
      </w:pPr>
      <w:r>
        <w:rPr>
          <w:b/>
        </w:rPr>
        <w:t xml:space="preserve">Success / Kill: </w:t>
      </w:r>
      <w:r>
        <w:t>SUCCESS: +10% CR (stat-sig) → ship CPP to those ad groups; build next CPP. KILL: no lift after target impressions → iterate creative or retire.</w:t>
      </w:r>
    </w:p>
    <w:p>
      <w:r>
        <w:rPr>
          <w:b/>
          <w:color w:val="1F2430"/>
          <w:sz w:val="26"/>
        </w:rPr>
        <w:t>EXP-5 · PPO screenshot A/B on the default listing  (Priority: MEDIUM)</w:t>
      </w:r>
    </w:p>
    <w:p>
      <w:pPr>
        <w:pStyle w:val="ListBullet"/>
      </w:pPr>
      <w:r>
        <w:rPr>
          <w:b/>
        </w:rPr>
        <w:t xml:space="preserve">Hypothesis: </w:t>
      </w:r>
      <w:r>
        <w:t>The default store page drives BOTH organic and paid-to-default conversion; a screenshot/icon test lifts install rate across all traffic.</w:t>
      </w:r>
    </w:p>
    <w:p>
      <w:pPr>
        <w:pStyle w:val="ListBullet"/>
      </w:pPr>
      <w:r>
        <w:rPr>
          <w:b/>
        </w:rPr>
        <w:t xml:space="preserve">Design: </w:t>
      </w:r>
      <w:r>
        <w:t>Run a Product Page Optimization test: up to 3 treatments vs default (lead screenshot = finished before/after; alt hero; icon variant). Apple splits traffic and reports statistically.</w:t>
      </w:r>
    </w:p>
    <w:p>
      <w:pPr>
        <w:pStyle w:val="ListBullet"/>
      </w:pPr>
      <w:r>
        <w:rPr>
          <w:b/>
        </w:rPr>
        <w:t xml:space="preserve">Target KPI: </w:t>
      </w:r>
      <w:r>
        <w:t>Store install rate (impression→install); downstream trial rate.</w:t>
      </w:r>
    </w:p>
    <w:p>
      <w:pPr>
        <w:pStyle w:val="ListBullet"/>
      </w:pPr>
      <w:r>
        <w:rPr>
          <w:b/>
        </w:rPr>
        <w:t xml:space="preserve">Min runtime: </w:t>
      </w:r>
      <w:r>
        <w:t>Until statistical significance (Apple-managed), typically 2–4 weeks.</w:t>
      </w:r>
    </w:p>
    <w:p>
      <w:pPr>
        <w:pStyle w:val="ListBullet"/>
      </w:pPr>
      <w:r>
        <w:rPr>
          <w:b/>
        </w:rPr>
        <w:t xml:space="preserve">Success / Kill: </w:t>
      </w:r>
      <w:r>
        <w:t>SUCCESS: +5% install rate (stat-sig) → promote winner to default. KILL: no lift → keep default, test a bolder creative direction.</w:t>
      </w:r>
    </w:p>
    <w:p>
      <w:r>
        <w:rPr>
          <w:b/>
          <w:color w:val="1F2430"/>
          <w:sz w:val="26"/>
        </w:rPr>
        <w:t>EXP-6 · Geo split of T1_Generic (isolate US)  (Priority: MEDIUM)</w:t>
      </w:r>
    </w:p>
    <w:p>
      <w:pPr>
        <w:pStyle w:val="ListBullet"/>
      </w:pPr>
      <w:r>
        <w:rPr>
          <w:b/>
        </w:rPr>
        <w:t xml:space="preserve">Hypothesis: </w:t>
      </w:r>
      <w:r>
        <w:t>T1_Generic mixes ~40 storefronts (US + UZ/KG) under one budget and bid; cheap junk geos (TTR 4–5%) eat budget that should be US.</w:t>
      </w:r>
    </w:p>
    <w:p>
      <w:pPr>
        <w:pStyle w:val="ListBullet"/>
      </w:pPr>
      <w:r>
        <w:rPr>
          <w:b/>
        </w:rPr>
        <w:t xml:space="preserve">Design: </w:t>
      </w:r>
      <w:r>
        <w:t>Split T1_Generic by geo tier; isolate US into its own campaign with its own bids; move low-value geos to separate small-budget campaigns with their own targets, or pause.</w:t>
      </w:r>
    </w:p>
    <w:p>
      <w:pPr>
        <w:pStyle w:val="ListBullet"/>
      </w:pPr>
      <w:r>
        <w:rPr>
          <w:b/>
        </w:rPr>
        <w:t xml:space="preserve">Target KPI: </w:t>
      </w:r>
      <w:r>
        <w:t>US CPI; blended CPI; wasted spend on sub-target geos.</w:t>
      </w:r>
    </w:p>
    <w:p>
      <w:pPr>
        <w:pStyle w:val="ListBullet"/>
      </w:pPr>
      <w:r>
        <w:rPr>
          <w:b/>
        </w:rPr>
        <w:t xml:space="preserve">Min runtime: </w:t>
      </w:r>
      <w:r>
        <w:t>2–3 weeks.</w:t>
      </w:r>
    </w:p>
    <w:p>
      <w:pPr>
        <w:pStyle w:val="ListBullet"/>
      </w:pPr>
      <w:r>
        <w:rPr>
          <w:b/>
        </w:rPr>
        <w:t xml:space="preserve">Success / Kill: </w:t>
      </w:r>
      <w:r>
        <w:t>SUCCESS: US-isolated CPI ≤ target and blended CPI improves → make permanent. KILL: n/a (structural hygiene; keep unless US volume collapses).</w:t>
      </w:r>
    </w:p>
    <w:p>
      <w:r>
        <w:br w:type="page"/>
      </w:r>
    </w:p>
    <w:p>
      <w:r>
        <w:rPr>
          <w:b/>
          <w:color w:val="2E5AAC"/>
          <w:sz w:val="36"/>
        </w:rPr>
        <w:t>Part B — Measurement &amp; attribution plan</w:t>
      </w:r>
    </w:p>
    <w:p>
      <w:r>
        <w:rPr>
          <w:b/>
          <w:color w:val="1F2430"/>
          <w:sz w:val="26"/>
        </w:rPr>
        <w:t>B.1 — The 30% console-vs-MMP install gap</w:t>
      </w:r>
    </w:p>
    <w:p>
      <w:r>
        <w:rPr>
          <w:i w:val="0"/>
          <w:color w:val="1F2430"/>
          <w:sz w:val="21"/>
        </w:rPr>
        <w:t>The ASA console currently shows ~30% more installs than AppsFlyer. Likely causes:</w:t>
      </w:r>
    </w:p>
    <w:p>
      <w:pPr>
        <w:pStyle w:val="ListBullet"/>
      </w:pPr>
      <w:r>
        <w:rPr>
          <w:b/>
        </w:rPr>
        <w:t xml:space="preserve">Over-counting side: </w:t>
      </w:r>
      <w:r>
        <w:t>AdServices (console) counts redownloads and view-through conversions, and uses Apple's own attribution window.</w:t>
      </w:r>
    </w:p>
    <w:p>
      <w:pPr>
        <w:pStyle w:val="ListBullet"/>
      </w:pPr>
      <w:r>
        <w:rPr>
          <w:b/>
        </w:rPr>
        <w:t xml:space="preserve">Under-counting side: </w:t>
      </w:r>
      <w:r>
        <w:t>AppsFlyer dedupes, applies its own attribution window, and only counts installs where its SDK fires on first open — so ATT-declined / SKAN-null / delayed-postback installs and uninstalled-before-open users drop out.</w:t>
      </w:r>
    </w:p>
    <w:p>
      <w:pPr>
        <w:pStyle w:val="ListBullet"/>
      </w:pPr>
      <w:r>
        <w:rPr>
          <w:b/>
        </w:rPr>
        <w:t xml:space="preserve">Structural: </w:t>
      </w:r>
      <w:r>
        <w:t>Tap-through vs view-through counting differences, timezone/window mismatches, and SKAN postback delay/aggregation add noise.</w:t>
      </w:r>
    </w:p>
    <w:p>
      <w:r>
        <w:rPr>
          <w:b/>
          <w:color w:val="1F2430"/>
          <w:sz w:val="26"/>
        </w:rPr>
        <w:t>B.2 — Reconciliation approach</w:t>
      </w:r>
    </w:p>
    <w:p>
      <w:pPr>
        <w:pStyle w:val="ListBullet"/>
      </w:pPr>
      <w:r>
        <w:t>Agree ONE attribution window across console and MMP.</w:t>
      </w:r>
    </w:p>
    <w:p>
      <w:pPr>
        <w:pStyle w:val="ListBullet"/>
      </w:pPr>
      <w:r>
        <w:t>Use the AdServices API as the source of truth for ASA installs — it is deterministic and survives ATT because Apple owns both the store and the ad network.</w:t>
      </w:r>
    </w:p>
    <w:p>
      <w:pPr>
        <w:pStyle w:val="ListBullet"/>
      </w:pPr>
      <w:r>
        <w:t>Build a documented weekly bridge: console installs − redownloads − ATT/SKAN-null gaps ≈ MMP attributed installs. Track the residual %; a sudden change flags a tracking break, not a performance change.</w:t>
      </w:r>
    </w:p>
    <w:p>
      <w:r>
        <w:rPr>
          <w:b/>
          <w:color w:val="1F2430"/>
          <w:sz w:val="26"/>
        </w:rPr>
        <w:t>B.3 — Source of truth by metric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Owns these metrics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ASA console</w:t>
            </w:r>
          </w:p>
        </w:tc>
        <w:tc>
          <w:tcPr>
            <w:tcW w:type="dxa" w:w="2880"/>
          </w:tcPr>
          <w:p>
            <w:r>
              <w:t>Spend, impressions, TTR, CPT, taps, AdServices installs</w:t>
            </w:r>
          </w:p>
        </w:tc>
        <w:tc>
          <w:tcPr>
            <w:tcW w:type="dxa" w:w="2880"/>
          </w:tcPr>
          <w:p>
            <w:r>
              <w:t>First-party; deterministic ASA install truth under ATT</w:t>
            </w:r>
          </w:p>
        </w:tc>
      </w:tr>
      <w:tr>
        <w:tc>
          <w:tcPr>
            <w:tcW w:type="dxa" w:w="2880"/>
          </w:tcPr>
          <w:p>
            <w:r>
              <w:t>AppsFlyer (MMP)</w:t>
            </w:r>
          </w:p>
        </w:tc>
        <w:tc>
          <w:tcPr>
            <w:tcW w:type="dxa" w:w="2880"/>
          </w:tcPr>
          <w:p>
            <w:r>
              <w:t>Attributed installs + downstream events across channels</w:t>
            </w:r>
          </w:p>
        </w:tc>
        <w:tc>
          <w:tcPr>
            <w:tcW w:type="dxa" w:w="2880"/>
          </w:tcPr>
          <w:p>
            <w:r>
              <w:t>Cross-channel view; blends SKAN + AdServices</w:t>
            </w:r>
          </w:p>
        </w:tc>
      </w:tr>
      <w:tr>
        <w:tc>
          <w:tcPr>
            <w:tcW w:type="dxa" w:w="2880"/>
          </w:tcPr>
          <w:p>
            <w:r>
              <w:t>RevenueCat / Amplitude</w:t>
            </w:r>
          </w:p>
        </w:tc>
        <w:tc>
          <w:tcPr>
            <w:tcW w:type="dxa" w:w="2880"/>
          </w:tcPr>
          <w:p>
            <w:r>
              <w:t>Trials, payers, revenue, ARPPU, LTV, D30/Y1 curve</w:t>
            </w:r>
          </w:p>
        </w:tc>
        <w:tc>
          <w:tcPr>
            <w:tcW w:type="dxa" w:w="2880"/>
          </w:tcPr>
          <w:p>
            <w:r>
              <w:t>Revenue truth; feeds the ROAS model</w:t>
            </w:r>
          </w:p>
        </w:tc>
      </w:tr>
    </w:tbl>
    <w:p>
      <w:r>
        <w:rPr>
          <w:b/>
          <w:color w:val="1F2430"/>
          <w:sz w:val="26"/>
        </w:rPr>
        <w:t>B.4 — Reading iOS data under ATT / AdAttributionKit</w:t>
      </w:r>
    </w:p>
    <w:p>
      <w:pPr>
        <w:pStyle w:val="ListBullet"/>
      </w:pPr>
      <w:r>
        <w:t>ASA installs: AdServices deterministic attribution — reliable at keyword level even when ATT is declined.</w:t>
      </w:r>
    </w:p>
    <w:p>
      <w:pPr>
        <w:pStyle w:val="ListBullet"/>
      </w:pPr>
      <w:r>
        <w:t>Downstream (trial/purchase): SKAN / AdAttributionKit conversion values. Design a CV schema encoding funnel milestones (install → trial → purchase) or revenue buckets; RevenueCat fires the value on subscription events.</w:t>
      </w:r>
    </w:p>
    <w:p>
      <w:pPr>
        <w:pStyle w:val="ListBullet"/>
      </w:pPr>
      <w:r>
        <w:t>Constraints to respect: postback delay + conversion windows (0–2 / 3–7 / 8–35 days), aggregation (no user-level), and crowd-anonymity thresholds that null-out low-volume sources. Keyword-level revenue is therefore approximated by narrow ad-group / campaign structure so campaign-level SKAN ≈ keyword-level.</w:t>
      </w:r>
    </w:p>
    <w:p>
      <w:pPr>
        <w:pStyle w:val="ListBullet"/>
      </w:pPr>
      <w:r>
        <w:t>Where SKAN is null (small keywords): use MMP predictive/blended modelling and evaluate by cohort (D7 leading, D30 gate), not by same-day installs.</w:t>
      </w:r>
    </w:p>
    <w:p>
      <w:r>
        <w:rPr>
          <w:b/>
          <w:color w:val="1F2430"/>
          <w:sz w:val="26"/>
        </w:rPr>
        <w:t>B.5 — Weekly report KPIs</w:t>
      </w:r>
    </w:p>
    <w:p>
      <w:pPr>
        <w:pStyle w:val="ListBullet"/>
      </w:pPr>
      <w:r>
        <w:t>Spend</w:t>
      </w:r>
    </w:p>
    <w:p>
      <w:pPr>
        <w:pStyle w:val="ListBullet"/>
      </w:pPr>
      <w:r>
        <w:t>Impressions &amp; TTR</w:t>
      </w:r>
    </w:p>
    <w:p>
      <w:pPr>
        <w:pStyle w:val="ListBullet"/>
      </w:pPr>
      <w:r>
        <w:t>CR (tap→install)</w:t>
      </w:r>
    </w:p>
    <w:p>
      <w:pPr>
        <w:pStyle w:val="ListBullet"/>
      </w:pPr>
      <w:r>
        <w:t>CPT &amp; CPI</w:t>
      </w:r>
    </w:p>
    <w:p>
      <w:pPr>
        <w:pStyle w:val="ListBullet"/>
      </w:pPr>
      <w:r>
        <w:t>Installs — console vs MMP delta %</w:t>
      </w:r>
    </w:p>
    <w:p>
      <w:pPr>
        <w:pStyle w:val="ListBullet"/>
      </w:pPr>
      <w:r>
        <w:t>CPA(trial) and CPA(payer)</w:t>
      </w:r>
    </w:p>
    <w:p>
      <w:pPr>
        <w:pStyle w:val="ListBullet"/>
      </w:pPr>
      <w:r>
        <w:t>Trial→Paid %</w:t>
      </w:r>
    </w:p>
    <w:p>
      <w:pPr>
        <w:pStyle w:val="ListBullet"/>
      </w:pPr>
      <w:r>
        <w:t>ROAS — D7 (leading) and D30 (gate)</w:t>
      </w:r>
    </w:p>
    <w:p>
      <w:pPr>
        <w:pStyle w:val="ListBullet"/>
      </w:pPr>
      <w:r>
        <w:t>Organic keyword rank on top terms (paid–organic sync)</w:t>
      </w:r>
    </w:p>
    <w:p>
      <w:pPr>
        <w:pStyle w:val="ListBullet"/>
      </w:pPr>
      <w:r>
        <w:t>Organic install share</w:t>
      </w:r>
    </w:p>
    <w:p>
      <w:pPr>
        <w:pStyle w:val="ListBullet"/>
      </w:pPr>
      <w:r>
        <w:t>Share of defended brand traffic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