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C8542F"/>
          <w:sz w:val="34"/>
        </w:rPr>
        <w:t>TouchRetouch - Experiment Briefs &amp; Measurement Plan</w:t>
      </w:r>
    </w:p>
    <w:p>
      <w:r>
        <w:rPr>
          <w:i/>
          <w:color w:val="6E6A63"/>
          <w:sz w:val="21"/>
        </w:rPr>
        <w:t>Companion to the deck and the ROAS model. I write these in the first person because it's how I'd actually run the channel: cap the brand waste, put the money on tool intent, and treat the AI angle as a measured bet.</w:t>
      </w:r>
    </w:p>
    <w:p>
      <w:r>
        <w:rPr>
          <w:rFonts w:ascii="Georgia" w:hAnsi="Georgia"/>
          <w:b/>
          <w:color w:val="23303B"/>
          <w:sz w:val="25"/>
        </w:rPr>
        <w:t>Model anchor (read first)</w:t>
      </w:r>
    </w:p>
    <w:p>
      <w:pPr>
        <w:pStyle w:val="ListBullet"/>
      </w:pPr>
      <w:r>
        <w:rPr>
          <w:b/>
        </w:rPr>
        <w:t xml:space="preserve">Basis: </w:t>
      </w:r>
      <w:r>
        <w:t>revenue is modelled on first-year ARPPU ($22.2, net of Apple fee). Rev/install = 15% × 20% × $22.2 = $0.666.</w:t>
      </w:r>
    </w:p>
    <w:p>
      <w:pPr>
        <w:pStyle w:val="ListBullet"/>
      </w:pPr>
      <w:r>
        <w:rPr>
          <w:b/>
        </w:rPr>
        <w:t xml:space="preserve">Why: </w:t>
      </w:r>
      <w:r>
        <w:t>this is the same basis as the task's ~100% ROAS anchor, so the model's 'ROAS (gate)' is comparable to the 125% requirement.</w:t>
      </w:r>
    </w:p>
    <w:p>
      <w:pPr>
        <w:pStyle w:val="ListBullet"/>
      </w:pPr>
      <w:r>
        <w:rPr>
          <w:b/>
        </w:rPr>
        <w:t xml:space="preserve">Caveat: </w:t>
      </w:r>
      <w:r>
        <w:t>real cash by day 30 is a fraction of Y1 - the 'D30 cash ROAS' column stays informational until we replace 0.45 with RevenueCat's real D30/Y1 curve.</w:t>
      </w:r>
    </w:p>
    <w:p>
      <w:r>
        <w:rPr>
          <w:rFonts w:ascii="Georgia" w:hAnsi="Georgia"/>
          <w:b/>
          <w:color w:val="C8542F"/>
          <w:sz w:val="34"/>
        </w:rPr>
        <w:t>Part A - Experiment backlog (prioritised)</w:t>
      </w:r>
    </w:p>
    <w:p>
      <w:r>
        <w:rPr>
          <w:i/>
          <w:color w:val="6E6A63"/>
          <w:sz w:val="21"/>
        </w:rPr>
        <w:t>Prioritised by revenue unlock × confidence × ease. Each brief: hypothesis, design, KPI, minimum runtime, success/kill. Kill fast, scale winners.</w:t>
      </w:r>
    </w:p>
    <w:p>
      <w:r>
        <w:rPr>
          <w:rFonts w:ascii="Georgia" w:hAnsi="Georgia"/>
          <w:b/>
          <w:color w:val="23303B"/>
          <w:sz w:val="25"/>
        </w:rPr>
        <w:t>EXP-1 · Brand bid cap + incrementality pause test  (Priority: HIGHEST)</w:t>
      </w:r>
    </w:p>
    <w:p>
      <w:pPr>
        <w:pStyle w:val="ListBullet"/>
      </w:pPr>
      <w:r>
        <w:rPr>
          <w:b/>
        </w:rPr>
        <w:t xml:space="preserve">Hypothesis: </w:t>
      </w:r>
      <w:r>
        <w:t>Brand is 58% of spend with max bids €25-35 vs €1.2-1.9 real. Someone searching 'TouchRetouch' already wants us, so most of this pays for installs organic wins for free. I want to prove how much brand paid spend is actually incremental before I redeploy it.</w:t>
      </w:r>
    </w:p>
    <w:p>
      <w:pPr>
        <w:pStyle w:val="ListBullet"/>
      </w:pPr>
      <w:r>
        <w:rPr>
          <w:b/>
        </w:rPr>
        <w:t xml:space="preserve">Design: </w:t>
      </w:r>
      <w:r>
        <w:t>Cap brand CPT to €3-5. Then pause brand for 1-2 weeks and measure how many lost paid brand installs organic recovers. Clean before/after window; watch for competitors bidding our brand.</w:t>
      </w:r>
    </w:p>
    <w:p>
      <w:pPr>
        <w:pStyle w:val="ListBullet"/>
      </w:pPr>
      <w:r>
        <w:rPr>
          <w:b/>
        </w:rPr>
        <w:t xml:space="preserve">Target KPI: </w:t>
      </w:r>
      <w:r>
        <w:t>Brand incremental installs; total (paid+organic) brand installs; blended CPI.</w:t>
      </w:r>
    </w:p>
    <w:p>
      <w:pPr>
        <w:pStyle w:val="ListBullet"/>
      </w:pPr>
      <w:r>
        <w:rPr>
          <w:b/>
        </w:rPr>
        <w:t xml:space="preserve">Min runtime: </w:t>
      </w:r>
      <w:r>
        <w:t>2 weeks pause + 1 week read.</w:t>
      </w:r>
    </w:p>
    <w:p>
      <w:pPr>
        <w:pStyle w:val="ListBullet"/>
      </w:pPr>
      <w:r>
        <w:rPr>
          <w:b/>
        </w:rPr>
        <w:t xml:space="preserve">Success / Kill: </w:t>
      </w:r>
      <w:r>
        <w:t>SUCCESS: organic backfills ≥70% → keep brand capped permanently, redeploy budget to tool intent. KILL: organic recovers &lt;50% or a competitor floods the term → restore a small capped defensive bid.</w:t>
      </w:r>
    </w:p>
    <w:p>
      <w:r>
        <w:rPr>
          <w:rFonts w:ascii="Georgia" w:hAnsi="Georgia"/>
          <w:b/>
          <w:color w:val="23303B"/>
          <w:sz w:val="25"/>
        </w:rPr>
        <w:t>EXP-2 · Tool-intent CPP conquest  (Priority: HIGHEST)</w:t>
      </w:r>
    </w:p>
    <w:p>
      <w:pPr>
        <w:pStyle w:val="ListBullet"/>
      </w:pPr>
      <w:r>
        <w:rPr>
          <w:b/>
        </w:rPr>
        <w:t xml:space="preserve">Hypothesis: </w:t>
      </w:r>
      <w:r>
        <w:t>The real demand is tool intent, not brand. People typing 'magic eraser' / 'object remover' want a solution, not a specific app. A dedicated page per tool should convert far better than the default page and beat the timid feature campaign.</w:t>
      </w:r>
    </w:p>
    <w:p>
      <w:pPr>
        <w:pStyle w:val="ListBullet"/>
      </w:pPr>
      <w:r>
        <w:rPr>
          <w:b/>
        </w:rPr>
        <w:t xml:space="preserve">Design: </w:t>
      </w:r>
      <w:r>
        <w:t>Build a campaign per tool ('magic eraser', 'object remover', 'background remover', 'photo retouch') each pointed at its own CPP (matching before/after screens). Aggressive bids derived from a target CPA per geo. Fold the old feature terms in here.</w:t>
      </w:r>
    </w:p>
    <w:p>
      <w:pPr>
        <w:pStyle w:val="ListBullet"/>
      </w:pPr>
      <w:r>
        <w:rPr>
          <w:b/>
        </w:rPr>
        <w:t xml:space="preserve">Target KPI: </w:t>
      </w:r>
      <w:r>
        <w:t>CPA(trial) and tap→install CR per tool; incremental installs.</w:t>
      </w:r>
    </w:p>
    <w:p>
      <w:pPr>
        <w:pStyle w:val="ListBullet"/>
      </w:pPr>
      <w:r>
        <w:rPr>
          <w:b/>
        </w:rPr>
        <w:t xml:space="preserve">Min runtime: </w:t>
      </w:r>
      <w:r>
        <w:t>3-4 weeks (SKAN lag).</w:t>
      </w:r>
    </w:p>
    <w:p>
      <w:pPr>
        <w:pStyle w:val="ListBullet"/>
      </w:pPr>
      <w:r>
        <w:rPr>
          <w:b/>
        </w:rPr>
        <w:t xml:space="preserve">Success / Kill: </w:t>
      </w:r>
      <w:r>
        <w:t>SUCCESS: CPA(trial) ≤ target with incremental installs → scale the winners. KILL a tool: CPA &gt; target × 1.5 with no volume upside → pause that tool, keep the rest.</w:t>
      </w:r>
    </w:p>
    <w:p>
      <w:r>
        <w:rPr>
          <w:rFonts w:ascii="Georgia" w:hAnsi="Georgia"/>
          <w:b/>
          <w:color w:val="23303B"/>
          <w:sz w:val="25"/>
        </w:rPr>
        <w:t>EXP-3 · Search Match isolation + negative flow  (Priority: HIGH)</w:t>
      </w:r>
    </w:p>
    <w:p>
      <w:pPr>
        <w:pStyle w:val="ListBullet"/>
      </w:pPr>
      <w:r>
        <w:rPr>
          <w:b/>
        </w:rPr>
        <w:t xml:space="preserve">Hypothesis: </w:t>
      </w:r>
      <w:r>
        <w:t>Search Match (31%) runs inside the generic campaigns with no negatives, so it cannibalises exact and burns budget on junk queries.</w:t>
      </w:r>
    </w:p>
    <w:p>
      <w:pPr>
        <w:pStyle w:val="ListBullet"/>
      </w:pPr>
      <w:r>
        <w:rPr>
          <w:b/>
        </w:rPr>
        <w:t xml:space="preserve">Design: </w:t>
      </w:r>
      <w:r>
        <w:t>Move Search Match into its own Discovery campaign; add all Core exact keywords as exact negatives; audit the search-term report and negative out non-converting spend; harvest winners into Core weekly.</w:t>
      </w:r>
    </w:p>
    <w:p>
      <w:pPr>
        <w:pStyle w:val="ListBullet"/>
      </w:pPr>
      <w:r>
        <w:rPr>
          <w:b/>
        </w:rPr>
        <w:t xml:space="preserve">Target KPI: </w:t>
      </w:r>
      <w:r>
        <w:t>Generic CPA; wasted-spend %; net new keywords harvested.</w:t>
      </w:r>
    </w:p>
    <w:p>
      <w:pPr>
        <w:pStyle w:val="ListBullet"/>
      </w:pPr>
      <w:r>
        <w:rPr>
          <w:b/>
        </w:rPr>
        <w:t xml:space="preserve">Min runtime: </w:t>
      </w:r>
      <w:r>
        <w:t>3-4 weeks.</w:t>
      </w:r>
    </w:p>
    <w:p>
      <w:pPr>
        <w:pStyle w:val="ListBullet"/>
      </w:pPr>
      <w:r>
        <w:rPr>
          <w:b/>
        </w:rPr>
        <w:t xml:space="preserve">Success / Kill: </w:t>
      </w:r>
      <w:r>
        <w:t>SUCCESS: generic CPA -15% at equal or higher volume → permanent. KILL: volume drops &gt;20% with no CPA gain → rebalance.</w:t>
      </w:r>
    </w:p>
    <w:p>
      <w:r>
        <w:rPr>
          <w:rFonts w:ascii="Georgia" w:hAnsi="Georgia"/>
          <w:b/>
          <w:color w:val="23303B"/>
          <w:sz w:val="25"/>
        </w:rPr>
        <w:t>EXP-4 · AI-angle CPP + 'AI' badges  (Priority: MEDIUM-HIGH)</w:t>
      </w:r>
    </w:p>
    <w:p>
      <w:pPr>
        <w:pStyle w:val="ListBullet"/>
      </w:pPr>
      <w:r>
        <w:rPr>
          <w:b/>
        </w:rPr>
        <w:t xml:space="preserve">Hypothesis: </w:t>
      </w:r>
      <w:r>
        <w:t>Our real competitor is increasingly ChatGPT/Gemini - some users open an LLM to edit a photo instead of finding a retoucher. If we position TouchRetouch as a purpose-built tool that does these exact jobs better than a general AI, we can capture that intent.</w:t>
      </w:r>
    </w:p>
    <w:p>
      <w:pPr>
        <w:pStyle w:val="ListBullet"/>
      </w:pPr>
      <w:r>
        <w:rPr>
          <w:b/>
        </w:rPr>
        <w:t xml:space="preserve">Design: </w:t>
      </w:r>
      <w:r>
        <w:t>Ship an AI-angle CPP ('AI, done right' - result-vs-prompt, sharper output) with 'AI' badges on the lead screenshots, served to ai-intent terms (ai photo editor, ai object remover). Compare against the default page and the plain tool CPP.</w:t>
      </w:r>
    </w:p>
    <w:p>
      <w:pPr>
        <w:pStyle w:val="ListBullet"/>
      </w:pPr>
      <w:r>
        <w:rPr>
          <w:b/>
        </w:rPr>
        <w:t xml:space="preserve">Target KPI: </w:t>
      </w:r>
      <w:r>
        <w:t>tap→install CR and trial→paid on the AI cohort; CPA(trial).</w:t>
      </w:r>
    </w:p>
    <w:p>
      <w:pPr>
        <w:pStyle w:val="ListBullet"/>
      </w:pPr>
      <w:r>
        <w:rPr>
          <w:b/>
        </w:rPr>
        <w:t xml:space="preserve">Min runtime: </w:t>
      </w:r>
      <w:r>
        <w:t>2-3 weeks or ~9,000 impressions/variant.</w:t>
      </w:r>
    </w:p>
    <w:p>
      <w:pPr>
        <w:pStyle w:val="ListBullet"/>
      </w:pPr>
      <w:r>
        <w:rPr>
          <w:b/>
        </w:rPr>
        <w:t xml:space="preserve">Success / Kill: </w:t>
      </w:r>
      <w:r>
        <w:t>SUCCESS: +10% CR and healthy trial→paid → scale the AI angle across creative. KILL: no lift → keep AI badges only where they help, drop the dedicated spend.</w:t>
      </w:r>
    </w:p>
    <w:p>
      <w:r>
        <w:rPr>
          <w:rFonts w:ascii="Georgia" w:hAnsi="Georgia"/>
          <w:b/>
          <w:color w:val="23303B"/>
          <w:sz w:val="25"/>
        </w:rPr>
        <w:t>EXP-5 · Kill the Product-Pages competitor campaign  (Priority: MEDIUM)</w:t>
      </w:r>
    </w:p>
    <w:p>
      <w:pPr>
        <w:pStyle w:val="ListBullet"/>
      </w:pPr>
      <w:r>
        <w:rPr>
          <w:b/>
        </w:rPr>
        <w:t xml:space="preserve">Hypothesis: </w:t>
      </w:r>
      <w:r>
        <w:t>Competitor runs only on Product Pages at CPA €17 and TTR 2%. Users rarely scroll a rival's page to switch, our screens don't stand out there, and it barely brings installs - so it doesn't even feed organic. I expect it's pure waste, but I'll confirm with data before cutting.</w:t>
      </w:r>
    </w:p>
    <w:p>
      <w:pPr>
        <w:pStyle w:val="ListBullet"/>
      </w:pPr>
      <w:r>
        <w:rPr>
          <w:b/>
        </w:rPr>
        <w:t xml:space="preserve">Design: </w:t>
      </w:r>
      <w:r>
        <w:t>Pause the Product-Pages competitor campaign; read one week of the resulting delta. If any conquest is worth keeping, move it to Search Results with a proper CPP instead.</w:t>
      </w:r>
    </w:p>
    <w:p>
      <w:pPr>
        <w:pStyle w:val="ListBullet"/>
      </w:pPr>
      <w:r>
        <w:rPr>
          <w:b/>
        </w:rPr>
        <w:t xml:space="preserve">Target KPI: </w:t>
      </w:r>
      <w:r>
        <w:t>Wasted spend recovered; CPA vs target.</w:t>
      </w:r>
    </w:p>
    <w:p>
      <w:pPr>
        <w:pStyle w:val="ListBullet"/>
      </w:pPr>
      <w:r>
        <w:rPr>
          <w:b/>
        </w:rPr>
        <w:t xml:space="preserve">Min runtime: </w:t>
      </w:r>
      <w:r>
        <w:t>1 week read.</w:t>
      </w:r>
    </w:p>
    <w:p>
      <w:pPr>
        <w:pStyle w:val="ListBullet"/>
      </w:pPr>
      <w:r>
        <w:rPr>
          <w:b/>
        </w:rPr>
        <w:t xml:space="preserve">Success / Kill: </w:t>
      </w:r>
      <w:r>
        <w:t>SUCCESS: CPA confirmed ≫ target → kill and redeploy. KEEP only if a segment comes in ≤ target.</w:t>
      </w:r>
    </w:p>
    <w:p>
      <w:r>
        <w:rPr>
          <w:rFonts w:ascii="Georgia" w:hAnsi="Georgia"/>
          <w:b/>
          <w:color w:val="23303B"/>
          <w:sz w:val="25"/>
        </w:rPr>
        <w:t>EXP-6 · Geo trim + T1 expansion  (Priority: MEDIUM)</w:t>
      </w:r>
    </w:p>
    <w:p>
      <w:pPr>
        <w:pStyle w:val="ListBullet"/>
      </w:pPr>
      <w:r>
        <w:rPr>
          <w:b/>
        </w:rPr>
        <w:t xml:space="preserve">Hypothesis: </w:t>
      </w:r>
      <w:r>
        <w:t>T1_Generic mixes ~40 storefronts (US + UZ/KG) under one bid. The cheapest geos have little subscription culture and almost certainly poor install→paid, dragging the blend.</w:t>
      </w:r>
    </w:p>
    <w:p>
      <w:pPr>
        <w:pStyle w:val="ListBullet"/>
      </w:pPr>
      <w:r>
        <w:rPr>
          <w:b/>
        </w:rPr>
        <w:t xml:space="preserve">Design: </w:t>
      </w:r>
      <w:r>
        <w:t>Split T1_Generic by tier; isolate US; drop UZ/KG-type geos or move them to tiny separate budgets with their own targets; test a small expansion of genuine T1 geos.</w:t>
      </w:r>
    </w:p>
    <w:p>
      <w:pPr>
        <w:pStyle w:val="ListBullet"/>
      </w:pPr>
      <w:r>
        <w:rPr>
          <w:b/>
        </w:rPr>
        <w:t xml:space="preserve">Target KPI: </w:t>
      </w:r>
      <w:r>
        <w:t>US CPI; blended CPI; wasted spend on sub-target geos.</w:t>
      </w:r>
    </w:p>
    <w:p>
      <w:pPr>
        <w:pStyle w:val="ListBullet"/>
      </w:pPr>
      <w:r>
        <w:rPr>
          <w:b/>
        </w:rPr>
        <w:t xml:space="preserve">Min runtime: </w:t>
      </w:r>
      <w:r>
        <w:t>2-3 weeks.</w:t>
      </w:r>
    </w:p>
    <w:p>
      <w:pPr>
        <w:pStyle w:val="ListBullet"/>
      </w:pPr>
      <w:r>
        <w:rPr>
          <w:b/>
        </w:rPr>
        <w:t xml:space="preserve">Success / Kill: </w:t>
      </w:r>
      <w:r>
        <w:t>SUCCESS: isolated US CPI ≤ target and blended CPI improves → permanent. KILL: n/a (structural hygiene).</w:t>
      </w:r>
    </w:p>
    <w:p>
      <w:r/>
    </w:p>
    <w:p>
      <w:r>
        <w:rPr>
          <w:rFonts w:ascii="Georgia" w:hAnsi="Georgia"/>
          <w:b/>
          <w:color w:val="C8542F"/>
          <w:sz w:val="34"/>
        </w:rPr>
        <w:t>Part B - Measurement &amp; attribution plan</w:t>
      </w:r>
    </w:p>
    <w:p>
      <w:r>
        <w:rPr>
          <w:rFonts w:ascii="Georgia" w:hAnsi="Georgia"/>
          <w:b/>
          <w:color w:val="23303B"/>
          <w:sz w:val="25"/>
        </w:rPr>
        <w:t>B.1 - The 30% console-vs-MMP install gap</w:t>
      </w:r>
    </w:p>
    <w:p>
      <w:r>
        <w:rPr>
          <w:i w:val="0"/>
          <w:color w:val="23303B"/>
          <w:sz w:val="21"/>
        </w:rPr>
        <w:t>Console shows ~30% more installs than AppsFlyer. Likely causes:</w:t>
      </w:r>
    </w:p>
    <w:p>
      <w:pPr>
        <w:pStyle w:val="ListBullet"/>
      </w:pPr>
      <w:r>
        <w:rPr>
          <w:b/>
        </w:rPr>
        <w:t xml:space="preserve">Over-counting: </w:t>
      </w:r>
      <w:r>
        <w:t>AdServices (console) counts redownloads and view-through, on Apple's own attribution window.</w:t>
      </w:r>
    </w:p>
    <w:p>
      <w:pPr>
        <w:pStyle w:val="ListBullet"/>
      </w:pPr>
      <w:r>
        <w:rPr>
          <w:b/>
        </w:rPr>
        <w:t xml:space="preserve">Under-counting: </w:t>
      </w:r>
      <w:r>
        <w:t>AppsFlyer dedupes, uses its own window, and only counts installs where its SDK fires on first open - so ATT-declined / SKAN-null / delayed-postback installs and uninstalled-before-open users drop out.</w:t>
      </w:r>
    </w:p>
    <w:p>
      <w:pPr>
        <w:pStyle w:val="ListBullet"/>
      </w:pPr>
      <w:r>
        <w:rPr>
          <w:b/>
        </w:rPr>
        <w:t xml:space="preserve">Structural: </w:t>
      </w:r>
      <w:r>
        <w:t>tap-through vs view-through differences, timezone/window mismatches, and SKAN delay/aggregation add noise.</w:t>
      </w:r>
    </w:p>
    <w:p>
      <w:r>
        <w:rPr>
          <w:rFonts w:ascii="Georgia" w:hAnsi="Georgia"/>
          <w:b/>
          <w:color w:val="23303B"/>
          <w:sz w:val="25"/>
        </w:rPr>
        <w:t>B.2 - How I reconcile</w:t>
      </w:r>
    </w:p>
    <w:p>
      <w:pPr>
        <w:pStyle w:val="ListBullet"/>
      </w:pPr>
      <w:r>
        <w:t>agree ONE attribution window across console and MMP.</w:t>
      </w:r>
    </w:p>
    <w:p>
      <w:pPr>
        <w:pStyle w:val="ListBullet"/>
      </w:pPr>
      <w:r>
        <w:t>use the AdServices API as source of truth for ASA installs - deterministic and survives ATT because Apple owns both the store and the ad network.</w:t>
      </w:r>
    </w:p>
    <w:p>
      <w:pPr>
        <w:pStyle w:val="ListBullet"/>
      </w:pPr>
      <w:r>
        <w:t>build a documented weekly bridge: console installs - redownloads - ATT/SKAN-null ≈ MMP. Track the residual %; a sudden change flags a tracking break, not a performance change.</w:t>
      </w:r>
    </w:p>
    <w:p>
      <w:r>
        <w:rPr>
          <w:rFonts w:ascii="Georgia" w:hAnsi="Georgia"/>
          <w:b/>
          <w:color w:val="23303B"/>
          <w:sz w:val="25"/>
        </w:rPr>
        <w:t>B.3 - Source of truth by metric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Owns these metrics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ASA console</w:t>
            </w:r>
          </w:p>
        </w:tc>
        <w:tc>
          <w:tcPr>
            <w:tcW w:type="dxa" w:w="2880"/>
          </w:tcPr>
          <w:p>
            <w:r>
              <w:t>Spend, impressions, TTR, CPT, taps, AdServices installs</w:t>
            </w:r>
          </w:p>
        </w:tc>
        <w:tc>
          <w:tcPr>
            <w:tcW w:type="dxa" w:w="2880"/>
          </w:tcPr>
          <w:p>
            <w:r>
              <w:t>First-party; deterministic ASA install truth under ATT</w:t>
            </w:r>
          </w:p>
        </w:tc>
      </w:tr>
      <w:tr>
        <w:tc>
          <w:tcPr>
            <w:tcW w:type="dxa" w:w="2880"/>
          </w:tcPr>
          <w:p>
            <w:r>
              <w:t>AppsFlyer (MMP)</w:t>
            </w:r>
          </w:p>
        </w:tc>
        <w:tc>
          <w:tcPr>
            <w:tcW w:type="dxa" w:w="2880"/>
          </w:tcPr>
          <w:p>
            <w:r>
              <w:t>Attributed installs + downstream events across channels</w:t>
            </w:r>
          </w:p>
        </w:tc>
        <w:tc>
          <w:tcPr>
            <w:tcW w:type="dxa" w:w="2880"/>
          </w:tcPr>
          <w:p>
            <w:r>
              <w:t>Cross-channel view; blends SKAN + AdServices</w:t>
            </w:r>
          </w:p>
        </w:tc>
      </w:tr>
      <w:tr>
        <w:tc>
          <w:tcPr>
            <w:tcW w:type="dxa" w:w="2880"/>
          </w:tcPr>
          <w:p>
            <w:r>
              <w:t>RevenueCat / Amplitude</w:t>
            </w:r>
          </w:p>
        </w:tc>
        <w:tc>
          <w:tcPr>
            <w:tcW w:type="dxa" w:w="2880"/>
          </w:tcPr>
          <w:p>
            <w:r>
              <w:t>Trials, payers, revenue, ARPPU, LTV, D30/Y1 curve</w:t>
            </w:r>
          </w:p>
        </w:tc>
        <w:tc>
          <w:tcPr>
            <w:tcW w:type="dxa" w:w="2880"/>
          </w:tcPr>
          <w:p>
            <w:r>
              <w:t>Revenue truth; feeds the ROAS model</w:t>
            </w:r>
          </w:p>
        </w:tc>
      </w:tr>
    </w:tbl>
    <w:p>
      <w:r>
        <w:rPr>
          <w:rFonts w:ascii="Georgia" w:hAnsi="Georgia"/>
          <w:b/>
          <w:color w:val="23303B"/>
          <w:sz w:val="25"/>
        </w:rPr>
        <w:t>B.4 - Reading iOS data under ATT / AdAttributionKit</w:t>
      </w:r>
    </w:p>
    <w:p>
      <w:pPr>
        <w:pStyle w:val="ListBullet"/>
      </w:pPr>
      <w:r>
        <w:t>ASA installs: AdServices deterministic attribution - reliable at keyword level even when ATT is declined.</w:t>
      </w:r>
    </w:p>
    <w:p>
      <w:pPr>
        <w:pStyle w:val="ListBullet"/>
      </w:pPr>
      <w:r>
        <w:t>Downstream (trial/purchase): SKAN / AdAttributionKit conversion values. I design a CV schema for funnel milestones (install → trial → purchase) or revenue buckets; RevenueCat fires the value on subscription events.</w:t>
      </w:r>
    </w:p>
    <w:p>
      <w:pPr>
        <w:pStyle w:val="ListBullet"/>
      </w:pPr>
      <w:r>
        <w:t>Constraints: postback delay + windows (0-2 / 3-7 / 8-35 days), aggregation (no user-level), crowd-anonymity thresholds that null small sources. Keyword-level revenue is approximated with narrow, per-tool campaigns so campaign-level SKAN ≈ keyword-level - which the tool-CPP structure gives me for free.</w:t>
      </w:r>
    </w:p>
    <w:p>
      <w:pPr>
        <w:pStyle w:val="ListBullet"/>
      </w:pPr>
      <w:r>
        <w:t>Where SKAN is null (small terms): MMP predictive/blended and cohort reads (D7 leading, D30 gate), not same-day installs.</w:t>
      </w:r>
    </w:p>
    <w:p>
      <w:r>
        <w:rPr>
          <w:rFonts w:ascii="Georgia" w:hAnsi="Georgia"/>
          <w:b/>
          <w:color w:val="23303B"/>
          <w:sz w:val="25"/>
        </w:rPr>
        <w:t>B.5 - Weekly report KPIs</w:t>
      </w:r>
    </w:p>
    <w:p>
      <w:pPr>
        <w:pStyle w:val="ListBullet"/>
      </w:pPr>
      <w:r>
        <w:t>Spend</w:t>
      </w:r>
    </w:p>
    <w:p>
      <w:pPr>
        <w:pStyle w:val="ListBullet"/>
      </w:pPr>
      <w:r>
        <w:t>Impressions &amp; TTR</w:t>
      </w:r>
    </w:p>
    <w:p>
      <w:pPr>
        <w:pStyle w:val="ListBullet"/>
      </w:pPr>
      <w:r>
        <w:t>CR (tap→install)</w:t>
      </w:r>
    </w:p>
    <w:p>
      <w:pPr>
        <w:pStyle w:val="ListBullet"/>
      </w:pPr>
      <w:r>
        <w:t>CPT &amp; CPI</w:t>
      </w:r>
    </w:p>
    <w:p>
      <w:pPr>
        <w:pStyle w:val="ListBullet"/>
      </w:pPr>
      <w:r>
        <w:t>Installs - console vs MMP delta %</w:t>
      </w:r>
    </w:p>
    <w:p>
      <w:pPr>
        <w:pStyle w:val="ListBullet"/>
      </w:pPr>
      <w:r>
        <w:t>CPA(trial) and CPA(payer)</w:t>
      </w:r>
    </w:p>
    <w:p>
      <w:pPr>
        <w:pStyle w:val="ListBullet"/>
      </w:pPr>
      <w:r>
        <w:t>Trial→Paid %</w:t>
      </w:r>
    </w:p>
    <w:p>
      <w:pPr>
        <w:pStyle w:val="ListBullet"/>
      </w:pPr>
      <w:r>
        <w:t>ROAS - D7 (leading) and D30 (gate)</w:t>
      </w:r>
    </w:p>
    <w:p>
      <w:pPr>
        <w:pStyle w:val="ListBullet"/>
      </w:pPr>
      <w:r>
        <w:t>Organic rank on top tool terms (paid-organic sync)</w:t>
      </w:r>
    </w:p>
    <w:p>
      <w:pPr>
        <w:pStyle w:val="ListBullet"/>
      </w:pPr>
      <w:r>
        <w:t>Organic install share</w:t>
      </w:r>
    </w:p>
    <w:p>
      <w:pPr>
        <w:pStyle w:val="ListBullet"/>
      </w:pPr>
      <w:r>
        <w:t>Share of defended brand traffic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30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