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全球优选 · 跨境售后与退换货政策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文档控制项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文件编号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POL-CS-2026-002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v3.1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生效日期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2026-04-01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密级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内部（限公司员工及授权客服查阅）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受控状态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受控文件，未经许可不得外传、复制或摘录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编制部门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客户服务部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审核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运营中心 · 李××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批准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总经理 · 张××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复审周期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每季度复审一次，更新后推送至全体客服人员</w:t>
            </w:r>
          </w:p>
        </w:tc>
      </w:tr>
    </w:tbl>
    <w:p>
      <w:pPr>
        <w:pStyle w:val="Heading2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编制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批准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2024-01-01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首次发布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客服部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2024-07-01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修订第二章；新增第三章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客服部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2025-06-01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新增 6.3 节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客服部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2026-04-01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新增第五章、第六章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客服部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2026-09-27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按公司统一文档模板重构章节编号与文档控制项；修订 4.3 节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客服部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张××</w:t>
            </w:r>
          </w:p>
        </w:tc>
      </w:tr>
    </w:tbl>
    <w:p>
      <w:pPr>
        <w:pStyle w:val="Heading2"/>
      </w:pPr>
      <w:r>
        <w:t>第一章 售后总则</w:t>
      </w:r>
    </w:p>
    <w:p>
      <w:pPr>
        <w:pStyle w:val="Heading3"/>
      </w:pPr>
      <w:r>
        <w:t>1.1 目的</w:t>
      </w:r>
    </w:p>
    <w:p>
      <w:r>
        <w:t>统一各海外市场的售后判责口径与退换货执行标准，使客服、仓储、财务三个环节对同一笔纠纷有同一套判定依据，避免因口径不一致造成客户体验落差与合规风险。</w:t>
      </w:r>
    </w:p>
    <w:p>
      <w:pPr>
        <w:pStyle w:val="Heading3"/>
      </w:pPr>
      <w:r>
        <w:t>1.2 适用范围</w:t>
      </w:r>
    </w:p>
    <w:p>
      <w:r>
        <w:t>适用于公司直营站点（北美、欧盟、英国、日本、加拿大、中国跨境站）产生的全部零售订单。B 端批量订单另行约定；供应商侧的质量责任认定另见《全球优选 · 供应商管理制度》。</w:t>
      </w:r>
    </w:p>
    <w:p>
      <w:pPr>
        <w:pStyle w:val="Heading3"/>
      </w:pPr>
      <w:r>
        <w:t>1.3 退换货承诺</w:t>
      </w:r>
    </w:p>
    <w:p>
      <w:r>
        <w:t>我们对产品质量负责到底。以下条款依据各市场消费者保护法规制定，取最有利于消费者的标准执行。若某市场的法定标准高于本政策承诺，以法定标准为准。</w:t>
      </w:r>
    </w:p>
    <w:p>
      <w:pPr>
        <w:pStyle w:val="Heading2"/>
      </w:pPr>
      <w:r>
        <w:t>第二章 各国市场退换货窗口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市场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法定退货期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我们承诺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适用法规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美国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因州而异（多数无强制）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30 天无理由退货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FTC Mail Order Rule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欧盟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14 天冷静期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30 天无理由退货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EU Consumer Rights Directive 2011/83/EU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英国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14 天冷静期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30 天无理由退货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Consumer Contracts Regulations 2013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日本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无强制冷静期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14 天无理由退货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特定商取引法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加拿大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因省而异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30 天无理由退货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各省 Consumer Protection Act</w:t>
            </w:r>
          </w:p>
        </w:tc>
      </w:tr>
    </w:tbl>
    <w:p>
      <w:r>
        <w:t>注：德国站特殊，详见第六章 6.3 节。</w:t>
      </w:r>
    </w:p>
    <w:p>
      <w:pPr>
        <w:pStyle w:val="Heading2"/>
      </w:pPr>
      <w:r>
        <w:t>第三章 分品类退换货细则</w:t>
      </w:r>
    </w:p>
    <w:p>
      <w:pPr>
        <w:pStyle w:val="Heading3"/>
      </w:pPr>
      <w:r>
        <w:t>3.1 皮具类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问题类型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处理方案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责任方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皮面开裂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使用 30 天内非人为划伤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全额退款加补发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工厂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五金掉色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使用 60 天内正常使用褪色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免费维修或换新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工厂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缝线脱落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使用 90 天内非勾扯断裂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免费维修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工厂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色差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实物与详情页图片色差大于 ΔE 3.0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可无理由退货（含运费）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运营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尺寸不符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实际尺寸与页面标注偏差大于 1cm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换货或退款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运营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皮质气味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通风 48 小时后仍有刺鼻气味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全额退款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工厂</w:t>
            </w:r>
          </w:p>
        </w:tc>
      </w:tr>
    </w:tbl>
    <w:p>
      <w:r>
        <w:t>不适用无条件退换的情形：</w:t>
      </w:r>
    </w:p>
    <w:p>
      <w:r>
        <w:t>- 顾客提供错误尺码信息导致的定制款。</w:t>
      </w:r>
    </w:p>
    <w:p>
      <w:r>
        <w:t>- 明显人为损坏（烟烫、刀割、宠物抓咬、强力撕扯）。</w:t>
      </w:r>
    </w:p>
    <w:p>
      <w:r>
        <w:t>- 使用超过 90 天的一般性磨损。</w:t>
      </w:r>
    </w:p>
    <w:p>
      <w:pPr>
        <w:pStyle w:val="Heading3"/>
      </w:pPr>
      <w:r>
        <w:t>3.2 杯具类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问题类型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处理方案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不保温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注入 95°C 水 6 小时后低于 55°C（316）或低于 50°C（304）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换新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漏水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拧紧后倒置有任何渗漏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换新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异味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清水清洗 3 次后仍有异味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全额退款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杯盖损坏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任何非人为摔碎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补发杯盖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容量偏差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实际容量与标注偏差大于 10%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退款 50% 或换货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掉漆划痕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收货开箱即有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换新或退 30%</w:t>
            </w:r>
          </w:p>
        </w:tc>
      </w:tr>
    </w:tbl>
    <w:p>
      <w:pPr>
        <w:pStyle w:val="Heading3"/>
      </w:pPr>
      <w:r>
        <w:t>3.3 帽饰类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问题类型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处理方案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尺码不符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头围超出标注范围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换货（免来回运费）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脱色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首次水洗掉色（色牢度不达标）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全额退款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线头开线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多于 3 处明显线头或接缝开裂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换新或退 30%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变形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运输导致帽型压塌且无法恢复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补发</w:t>
            </w:r>
          </w:p>
        </w:tc>
      </w:tr>
    </w:tbl>
    <w:p>
      <w:pPr>
        <w:pStyle w:val="Heading2"/>
      </w:pPr>
      <w:r>
        <w:t>第四章 退货操作流程</w:t>
      </w:r>
    </w:p>
    <w:p>
      <w:pPr>
        <w:pStyle w:val="Heading3"/>
      </w:pPr>
      <w:r>
        <w:t>4.1 退货申请要求</w:t>
      </w:r>
    </w:p>
    <w:p>
      <w:r>
        <w:t>1. 顾客通过官方渠道（网站、App、邮件）提交退货申请，并附清晰照片或视频。</w:t>
      </w:r>
    </w:p>
    <w:p>
      <w:r>
        <w:t>2. 客服 24 小时内完成审核（德国站 12 小时），审核通过后发送退货标签。</w:t>
      </w:r>
    </w:p>
    <w:p>
      <w:r>
        <w:t>3. 退货标签有效期 14 天，顾客可预约上门取件或自行投递。</w:t>
      </w:r>
    </w:p>
    <w:p>
      <w:pPr>
        <w:pStyle w:val="Heading3"/>
      </w:pPr>
      <w:r>
        <w:t>4.2 退货地址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市场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退货接收地址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联系人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北美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Returns Dept, 1230 E Olympic Blvd, Los Angeles, CA 90021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LA Warehouse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欧盟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Retourenabteilung, Wendenstraße 29, 20097 Hamburg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HH Warehouse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日本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返品係, 大阪市住之江区南港東 4-5-2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OSAKA Returns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中国（跨境退货）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深圳市龙岗区坂田街道坂雪岗大道 5028 号 1 号仓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深圳退货组</w:t>
            </w:r>
          </w:p>
        </w:tc>
      </w:tr>
    </w:tbl>
    <w:p>
      <w:pPr>
        <w:pStyle w:val="Heading3"/>
      </w:pPr>
      <w:r>
        <w:t>4.3 退款时效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支付方式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退款到账时效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PayPal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 至 5 工作日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争议期内可提起 dispute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信用卡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5 至 10 工作日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取决于发卡行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Klarna 或 Afterpay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即时撤销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未出账单则直接取消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支付宝或微信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 至 3 工作日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仅限中文站</w:t>
            </w:r>
          </w:p>
        </w:tc>
      </w:tr>
    </w:tbl>
    <w:p>
      <w:r>
        <w:t>退款金额构成：</w:t>
      </w:r>
    </w:p>
    <w:p>
      <w:r>
        <w:t>- 质量问题全额退款等于商品价格加原始运费。</w:t>
      </w:r>
    </w:p>
    <w:p>
      <w:r>
        <w:t>- 无理由退货等于商品价格减退货运费（德国站除外）。</w:t>
      </w:r>
    </w:p>
    <w:p>
      <w:pPr>
        <w:pStyle w:val="Heading2"/>
      </w:pPr>
      <w:r>
        <w:t>第五章 客户投诉分级与响应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级别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定义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响应时效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关闭时效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P0（紧急）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人身安全问题、法律诉讼威胁、社交媒体爆发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 小时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24 小时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P1（高）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单件金额大于 200 美元的质量问题、KOL 投诉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小时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 工作日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P2（中）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一般质量问题、物流破损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12 小时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7 工作日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P3（低）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使用咨询、配件补发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24 小时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14 工作日</w:t>
            </w:r>
          </w:p>
        </w:tc>
      </w:tr>
    </w:tbl>
    <w:p>
      <w:r>
        <w:t>P0 升级路径：客服组长、客服经理、运营总监、CEO。每一级 15 分钟内未响应则自动升级至下一级。</w:t>
      </w:r>
    </w:p>
    <w:p>
      <w:pPr>
        <w:pStyle w:val="Heading2"/>
      </w:pPr>
      <w:r>
        <w:t>第六章 争议处理</w:t>
      </w:r>
    </w:p>
    <w:p>
      <w:pPr>
        <w:pStyle w:val="Heading3"/>
      </w:pPr>
      <w:r>
        <w:t>6.1 PayPal Buyer Protection</w:t>
      </w:r>
    </w:p>
    <w:p>
      <w:r>
        <w:t>- 顾客可通过 PayPal 在交易后 180 天内提起争议。</w:t>
      </w:r>
    </w:p>
    <w:p>
      <w:r>
        <w:t>- 争议期内需提供：签收记录、沟通记录、质量鉴定材料。</w:t>
      </w:r>
    </w:p>
    <w:p>
      <w:r>
        <w:t>- PayPal 争议败诉率目标：低于 2%。</w:t>
      </w:r>
    </w:p>
    <w:p>
      <w:pPr>
        <w:pStyle w:val="Heading3"/>
      </w:pPr>
      <w:r>
        <w:t>6.2 Chargeback 管理</w:t>
      </w:r>
    </w:p>
    <w:p>
      <w:r>
        <w:t>- 信用卡 Chargeback 率须控制在 0.9% 以内（Visa 与 Mastercard 的阈值均为 1.0%）。</w:t>
      </w:r>
    </w:p>
    <w:p>
      <w:r>
        <w:t>- 超过 0.9% 触发运营预警，立即排查问题品类。</w:t>
      </w:r>
    </w:p>
    <w:p>
      <w:r>
        <w:t>- 2026 年第二季度 Chargeback 率目标：不高于 0.5%。</w:t>
      </w:r>
    </w:p>
    <w:p>
      <w:pPr>
        <w:pStyle w:val="Heading3"/>
      </w:pPr>
      <w:r>
        <w:t>6.3 德国市场特殊条款</w:t>
      </w:r>
    </w:p>
    <w:p>
      <w:r>
        <w:t>- 退货返程运费由我方承担（欧盟法规要求）。</w:t>
      </w:r>
    </w:p>
    <w:p>
      <w:r>
        <w:t>- 退货标签须为预付费，不可使用到付。</w:t>
      </w:r>
    </w:p>
    <w:p>
      <w:r>
        <w:t>- 德国包装法 VerpackG 要求：所有发往德国的包裹须注册 LUCID 包装回收。</w:t>
      </w:r>
    </w:p>
    <w:p>
      <w:pPr>
        <w:pStyle w:val="Heading2"/>
      </w:pPr>
      <w:r>
        <w:t>第七章 附则</w:t>
      </w:r>
    </w:p>
    <w:p>
      <w:r>
        <w:t>- 本政策由客户服务部负责解释。</w:t>
      </w:r>
    </w:p>
    <w:p>
      <w:r>
        <w:t>- 本政策每季度复审一次，修订后由客服部推送至全体客服人员企业微信，并同步更新对外帮助中心页面。</w:t>
      </w:r>
    </w:p>
    <w:p>
      <w:r>
        <w:t>- 自本版本生效之日起，v3.0 版同时废止。</w:t>
      </w:r>
    </w:p>
    <w:p>
      <w:r>
        <w:t>- 关联文件：《全球优选 · 跨境物流操作指南》《全球优选 · 供应商管理制度》《全球优选 · 跨境电商产品手册》。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