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全球优选 · 跨境物流操作指南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文档控制项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文件编号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SOP-LOG-2026-003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v2.3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2026-06-15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内部（限公司员工及承运商对接人查阅）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受控状态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受控文件，未经许可不得外传、复制或摘录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编制部门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物流部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审核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供应链管理部 · 王××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批准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总经理 · 张××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复审周期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每 6 个月，由物流部发起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适用范围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深圳总仓及各海外仓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修订内容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编制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批准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2024-05-01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首次发布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物流部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2025-03-01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新增第四章、第五章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物流部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2025-11-01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新增第六章；修订 4.1 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物流部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2026-03-01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 4.3 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物流部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2026-06-15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修订第五章；按公司统一文档模板重构章节编号与文档控制项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物流部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</w:tbl>
    <w:p>
      <w:pPr>
        <w:pStyle w:val="Heading2"/>
      </w:pPr>
      <w:r>
        <w:t>第一章 发货流程总览</w:t>
      </w:r>
    </w:p>
    <w:p>
      <w:pPr>
        <w:ind w:left="567"/>
      </w:pPr>
      <w:r>
        <w:rPr>
          <w:rFonts w:ascii="Consolas" w:hAnsi="Consolas"/>
          <w:sz w:val="18"/>
        </w:rPr>
        <w:t>订单抓取 (每小时) → 审单 (异常拦截) → 配货 (WMS波次) → 复核称重 → 贴标出库 → 干线揽收 → 清关 → 尾程派送 → 签收</w:t>
      </w:r>
    </w:p>
    <w:p>
      <w:pPr>
        <w:pStyle w:val="Heading2"/>
      </w:pPr>
      <w:r>
        <w:t>第二章 订单处理规则</w:t>
      </w:r>
    </w:p>
    <w:p>
      <w:pPr>
        <w:pStyle w:val="Heading3"/>
      </w:pPr>
      <w:r>
        <w:t>2.1 审单自动拦截条件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拦截类型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地址异常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地址不完整、邮编与城市不匹配、疑似 PO Box（部分线路不支持）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转人工核实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金额异常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单品数量超过 50 件，或订单金额超过 2000 美元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风控审核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重复订单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同一地址加同一 SKU 在 2 小时内下单超过 3 次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合并或确认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高风险国家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发往 OFAC 制裁国家（伊朗、朝鲜、叙利亚等）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自动取消并退款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电话缺失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尾程需电话通知的线路缺少电话号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转人工补充</w:t>
            </w:r>
          </w:p>
        </w:tc>
      </w:tr>
    </w:tbl>
    <w:p>
      <w:pPr>
        <w:pStyle w:val="Heading3"/>
      </w:pPr>
      <w:r>
        <w:t>2.2 分仓规则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发货仓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收货地址在美国西部（CA、OR、WA、NV、AZ）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洛杉矶海外仓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收货地址在美国其他州，库存有货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洛杉矶海外仓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洛杉矶断货但深圳有库存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深圳总仓（快线）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收货地址在欧盟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汉堡海外仓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汉堡断货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深圳总仓转欧盟快线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收货地址在日本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大阪海外仓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</w:tr>
    </w:tbl>
    <w:p>
      <w:pPr>
        <w:pStyle w:val="Heading3"/>
      </w:pPr>
      <w:r>
        <w:t>2.3 截单时间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截单时间（当地时间）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当日出库判定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深圳总仓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17:00 CST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17:00 前付款的订单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洛杉矶仓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15:00 PST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15:00 前推送的订单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汉堡仓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14:00 CET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14:00 前推送的订单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大阪仓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16:00 JST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16:00 前推送的订单</w:t>
            </w:r>
          </w:p>
        </w:tc>
      </w:tr>
    </w:tbl>
    <w:p>
      <w:pPr>
        <w:pStyle w:val="Heading2"/>
      </w:pPr>
      <w:r>
        <w:t>第三章 包装规范</w:t>
      </w:r>
    </w:p>
    <w:p>
      <w:pPr>
        <w:pStyle w:val="Heading3"/>
      </w:pPr>
      <w:r>
        <w:t>3.1 皮具类包装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1. 内填充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包内塞入拷贝纸或无纺布填充物，保持包型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2. 防潮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套入 PE 自封袋，内置一包硅胶干燥剂（5g）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3. 防刮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五金件单独包裹拷贝纸，拉链头套 EPE 保护套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4. 外箱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K3K 瓦楞纸箱，空隙用气泡膜填充，摇晃测试无位移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5. 标识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外箱贴"防潮/怕压"标识，单件重量超过 3kg 须标注重量</w:t>
            </w:r>
          </w:p>
        </w:tc>
      </w:tr>
    </w:tbl>
    <w:p>
      <w:pPr>
        <w:pStyle w:val="Heading3"/>
      </w:pPr>
      <w:r>
        <w:t>3.2 杯具类包装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1. 杯体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独立 PE 袋包裹，杯盖与杯体分离包装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2. 缓冲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定制珍珠棉（EPE）托盒，上下卡位固定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3. 外盒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彩色白卡纸天地盒，外加 K3K 运输箱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4. 抽检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每 500 个抽 1 个做跌落测试（1.2m 六面一角，无破损无凹陷）</w:t>
            </w:r>
          </w:p>
        </w:tc>
      </w:tr>
    </w:tbl>
    <w:p>
      <w:pPr>
        <w:pStyle w:val="Heading3"/>
      </w:pPr>
      <w:r>
        <w:t>3.3 帽饰类包装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1. 帽型保持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内置帽撑或填充纸团保持帽型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2. 防压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放入硬质天地盒，严禁使用快递袋直接装帽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3. 外层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快递防水袋加内层纸盒双重保护</w:t>
            </w:r>
          </w:p>
        </w:tc>
      </w:tr>
    </w:tbl>
    <w:p>
      <w:pPr>
        <w:pStyle w:val="Heading2"/>
      </w:pPr>
      <w:r>
        <w:t>第四章 清关与合规</w:t>
      </w:r>
    </w:p>
    <w:p>
      <w:pPr>
        <w:pStyle w:val="Heading3"/>
      </w:pPr>
      <w:r>
        <w:t>4.1 HS 编码速查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品类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HS Code（中国出口）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HS Code（美国进口）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关税参考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牛皮公文包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4202.11.90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4202.11.00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美国 8%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不锈钢保温杯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9617.00.90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9617.00.10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美国 3.4%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棉质棒球帽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6505.00.99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6505.00.80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美国 6.8%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Tritan 水杯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3924.10.00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3924.10.40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美国 3.4%</w:t>
            </w:r>
          </w:p>
        </w:tc>
      </w:tr>
    </w:tbl>
    <w:p>
      <w:pPr>
        <w:pStyle w:val="Heading3"/>
      </w:pPr>
      <w:r>
        <w:t>4.2 商业发票规范</w:t>
      </w:r>
    </w:p>
    <w:p>
      <w:r>
        <w:t>- 申报价值：按实际成交价申报，不得按成本价。虚低申报将导致海关扣货和罚款。</w:t>
      </w:r>
    </w:p>
    <w:p>
      <w:r>
        <w:t>- 品名描述：必须具体，不得填写 Gift、Sample、Accessories 等笼统名称。</w:t>
      </w:r>
    </w:p>
    <w:p>
      <w:r>
        <w:t>- 正确示例：Leather Briefcase, Cowhide；Stainless Steel Vacuum Flask 480ml。</w:t>
      </w:r>
    </w:p>
    <w:p>
      <w:r>
        <w:t>- 错误示例：Bag；Cup；Daily Goods。</w:t>
      </w:r>
    </w:p>
    <w:p>
      <w:r>
        <w:t>- 原产地：所有产品须标注 Made in China。</w:t>
      </w:r>
    </w:p>
    <w:p>
      <w:r>
        <w:t>- EORI 号码（欧盟）：发票须含进口方 EORI 号（Economic Operators Registration and Identification）。</w:t>
      </w:r>
    </w:p>
    <w:p>
      <w:pPr>
        <w:pStyle w:val="Heading3"/>
      </w:pPr>
      <w:r>
        <w:t>4.3 欧盟特殊合规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法规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对产品的影响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我们的应对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REACH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限制皮革中六价铬不超过 3mg/kg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每批次供应商须提供 REACH 检测报告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德国包装法 VerpackG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所有包装须注册 LUCID 回收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已注册，注册号 DE1234567890123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法国 Triman 标识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可回收包装须印 Triman 标志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2026 年第三季度起更新包材印刷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欧盟 GPSR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2024 年 12 月起需指定欧盟授权代表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已委托 Eurofins 作为授权代表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CE 标识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杯具有电子部件（测温杯）须 CE 认证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HY-TH004 已取得 CE</w:t>
            </w:r>
          </w:p>
        </w:tc>
      </w:tr>
    </w:tbl>
    <w:p>
      <w:pPr>
        <w:pStyle w:val="Heading2"/>
      </w:pPr>
      <w:r>
        <w:t>第五章 异常处理</w:t>
      </w:r>
    </w:p>
    <w:p>
      <w:pPr>
        <w:pStyle w:val="Heading3"/>
      </w:pPr>
      <w:r>
        <w:t>5.1 物流异常分类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响应时效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处理方案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包裹丢失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承运商确认为丢失后 24 小时内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按货值全额赔付客户，再向承运商索赔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包裹破损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客户提供开箱照片 24 小时内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补发或退款（破损严重时）；外包装完整但内物损毁由我方承担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海关扣货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收到海关通知 4 小时内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提供补充文件；如因申报原因扣货，物流负责人承担直接责任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地址错误退回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退回入仓 48 小时内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联系客户确认地址，额外运费由客户承担（首次免运费补给）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虚假签收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客户反馈未收到 2 小时内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提供 POD 签收凭证与 GPS 坐标；确认为虚假签收则补发并投诉承运商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旺季爆仓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实时监控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启动备用承运商，邮件批量通知客户时效延迟</w:t>
            </w:r>
          </w:p>
        </w:tc>
      </w:tr>
    </w:tbl>
    <w:p>
      <w:pPr>
        <w:pStyle w:val="Heading3"/>
      </w:pPr>
      <w:r>
        <w:t>5.2 承运商绩效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承运商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线路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准时率 KPI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破损率上限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当前表现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云途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中美线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不低于 95%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不高于 0.5%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96.2% / 0.3%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达标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燕文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中美线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不低于 93%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不高于 0.8%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93.5% / 0.7%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达标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4PX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中欧线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不低于 94%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不高于 0.5%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92.1% / 0.6%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未达标，需约谈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DHL eCommerce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中美东线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不低于 97%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不高于 0.3%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97.8% / 0.2%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达标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佐川急便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中日线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不低于 98%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不高于 0.2%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98.5% / 0.1%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达标</w:t>
            </w:r>
          </w:p>
        </w:tc>
      </w:tr>
    </w:tbl>
    <w:p>
      <w:r>
        <w:t>4PX 连续两个月准时率低于 94%，物流部须于本月内提交整改方案或切换承运商。</w:t>
      </w:r>
    </w:p>
    <w:p>
      <w:pPr>
        <w:pStyle w:val="Heading2"/>
      </w:pPr>
      <w:r>
        <w:t>第六章 库存预警规则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预警等级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黄（关注）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库存低于 3 周日均销量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通知采购备货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橙（补货）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库存低于 2 周日均销量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48 小时内创建采购单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红（紧急）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库存低于 1 周日均销量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启动空运补货（不计成本），同步在官网标注"低库存"</w:t>
            </w:r>
          </w:p>
        </w:tc>
      </w:tr>
    </w:tbl>
    <w:p>
      <w:pPr>
        <w:pStyle w:val="Heading2"/>
      </w:pPr>
      <w:r>
        <w:t>第七章 附则</w:t>
      </w:r>
    </w:p>
    <w:p>
      <w:r>
        <w:t>- 本指南由物流部负责解释。</w:t>
      </w:r>
    </w:p>
    <w:p>
      <w:r>
        <w:t>- 本指南每 6 个月复审一次；承运商切换、目的国法规更新时即时修订。</w:t>
      </w:r>
    </w:p>
    <w:p>
      <w:r>
        <w:t>- 自本版本生效之日起，v2.2 版同时废止。</w:t>
      </w:r>
    </w:p>
    <w:p>
      <w:r>
        <w:t>- 关联文件：《承运商 SLA 协议》《WMS 操作手册》《报关 SOP》《全球优选 · 跨境售后与退换货政策》《全球优选 · 跨境电商产品手册》。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