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全球优选 · 出口退税与跨境税务合规制度</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文档控制项</w:t>
            </w:r>
          </w:p>
        </w:tc>
        <w:tc>
          <w:tcPr>
            <w:tcW w:type="dxa" w:w="4320"/>
          </w:tcPr>
          <w:p>
            <w:r>
              <w:rPr>
                <w:b/>
                <w:sz w:val="18"/>
              </w:rPr>
              <w:t>内容</w:t>
            </w:r>
          </w:p>
        </w:tc>
      </w:tr>
      <w:tr>
        <w:tc>
          <w:tcPr>
            <w:tcW w:type="dxa" w:w="4320"/>
          </w:tcPr>
          <w:p>
            <w:r>
              <w:rPr>
                <w:b w:val="0"/>
                <w:sz w:val="18"/>
              </w:rPr>
              <w:t>文件编号</w:t>
            </w:r>
          </w:p>
        </w:tc>
        <w:tc>
          <w:tcPr>
            <w:tcW w:type="dxa" w:w="4320"/>
          </w:tcPr>
          <w:p>
            <w:r>
              <w:rPr>
                <w:b w:val="0"/>
                <w:sz w:val="18"/>
              </w:rPr>
              <w:t>FIN-TAX-2026-005</w:t>
            </w:r>
          </w:p>
        </w:tc>
      </w:tr>
      <w:tr>
        <w:tc>
          <w:tcPr>
            <w:tcW w:type="dxa" w:w="4320"/>
          </w:tcPr>
          <w:p>
            <w:r>
              <w:rPr>
                <w:b w:val="0"/>
                <w:sz w:val="18"/>
              </w:rPr>
              <w:t>版本号</w:t>
            </w:r>
          </w:p>
        </w:tc>
        <w:tc>
          <w:tcPr>
            <w:tcW w:type="dxa" w:w="4320"/>
          </w:tcPr>
          <w:p>
            <w:r>
              <w:rPr>
                <w:b w:val="0"/>
                <w:sz w:val="18"/>
              </w:rPr>
              <w:t>v1.3</w:t>
            </w:r>
          </w:p>
        </w:tc>
      </w:tr>
      <w:tr>
        <w:tc>
          <w:tcPr>
            <w:tcW w:type="dxa" w:w="4320"/>
          </w:tcPr>
          <w:p>
            <w:r>
              <w:rPr>
                <w:b w:val="0"/>
                <w:sz w:val="18"/>
              </w:rPr>
              <w:t>生效日期</w:t>
            </w:r>
          </w:p>
        </w:tc>
        <w:tc>
          <w:tcPr>
            <w:tcW w:type="dxa" w:w="4320"/>
          </w:tcPr>
          <w:p>
            <w:r>
              <w:rPr>
                <w:b w:val="0"/>
                <w:sz w:val="18"/>
              </w:rPr>
              <w:t>2026-03-01</w:t>
            </w:r>
          </w:p>
        </w:tc>
      </w:tr>
      <w:tr>
        <w:tc>
          <w:tcPr>
            <w:tcW w:type="dxa" w:w="4320"/>
          </w:tcPr>
          <w:p>
            <w:r>
              <w:rPr>
                <w:b w:val="0"/>
                <w:sz w:val="18"/>
              </w:rPr>
              <w:t>密级</w:t>
            </w:r>
          </w:p>
        </w:tc>
        <w:tc>
          <w:tcPr>
            <w:tcW w:type="dxa" w:w="4320"/>
          </w:tcPr>
          <w:p>
            <w:r>
              <w:rPr>
                <w:b w:val="0"/>
                <w:sz w:val="18"/>
              </w:rPr>
              <w:t>机密（限财务部税务岗、财务总监、总经理查阅）</w:t>
            </w:r>
          </w:p>
        </w:tc>
      </w:tr>
      <w:tr>
        <w:tc>
          <w:tcPr>
            <w:tcW w:type="dxa" w:w="4320"/>
          </w:tcPr>
          <w:p>
            <w:r>
              <w:rPr>
                <w:b w:val="0"/>
                <w:sz w:val="18"/>
              </w:rPr>
              <w:t>受控状态</w:t>
            </w:r>
          </w:p>
        </w:tc>
        <w:tc>
          <w:tcPr>
            <w:tcW w:type="dxa" w:w="4320"/>
          </w:tcPr>
          <w:p>
            <w:r>
              <w:rPr>
                <w:b w:val="0"/>
                <w:sz w:val="18"/>
              </w:rPr>
              <w:t>受控文件，未经许可不得外传、复制或摘录</w:t>
            </w:r>
          </w:p>
        </w:tc>
      </w:tr>
      <w:tr>
        <w:tc>
          <w:tcPr>
            <w:tcW w:type="dxa" w:w="4320"/>
          </w:tcPr>
          <w:p>
            <w:r>
              <w:rPr>
                <w:b w:val="0"/>
                <w:sz w:val="18"/>
              </w:rPr>
              <w:t>编制部门</w:t>
            </w:r>
          </w:p>
        </w:tc>
        <w:tc>
          <w:tcPr>
            <w:tcW w:type="dxa" w:w="4320"/>
          </w:tcPr>
          <w:p>
            <w:r>
              <w:rPr>
                <w:b w:val="0"/>
                <w:sz w:val="18"/>
              </w:rPr>
              <w:t>财务部（税务岗）</w:t>
            </w:r>
          </w:p>
        </w:tc>
      </w:tr>
      <w:tr>
        <w:tc>
          <w:tcPr>
            <w:tcW w:type="dxa" w:w="4320"/>
          </w:tcPr>
          <w:p>
            <w:r>
              <w:rPr>
                <w:b w:val="0"/>
                <w:sz w:val="18"/>
              </w:rPr>
              <w:t>审核</w:t>
            </w:r>
          </w:p>
        </w:tc>
        <w:tc>
          <w:tcPr>
            <w:tcW w:type="dxa" w:w="4320"/>
          </w:tcPr>
          <w:p>
            <w:r>
              <w:rPr>
                <w:b w:val="0"/>
                <w:sz w:val="18"/>
              </w:rPr>
              <w:t>财务总监 · 黄××</w:t>
            </w:r>
          </w:p>
        </w:tc>
      </w:tr>
      <w:tr>
        <w:tc>
          <w:tcPr>
            <w:tcW w:type="dxa" w:w="4320"/>
          </w:tcPr>
          <w:p>
            <w:r>
              <w:rPr>
                <w:b w:val="0"/>
                <w:sz w:val="18"/>
              </w:rPr>
              <w:t>批准</w:t>
            </w:r>
          </w:p>
        </w:tc>
        <w:tc>
          <w:tcPr>
            <w:tcW w:type="dxa" w:w="4320"/>
          </w:tcPr>
          <w:p>
            <w:r>
              <w:rPr>
                <w:b w:val="0"/>
                <w:sz w:val="18"/>
              </w:rPr>
              <w:t>总经理 · 张××</w:t>
            </w:r>
          </w:p>
        </w:tc>
      </w:tr>
      <w:tr>
        <w:tc>
          <w:tcPr>
            <w:tcW w:type="dxa" w:w="4320"/>
          </w:tcPr>
          <w:p>
            <w:r>
              <w:rPr>
                <w:b w:val="0"/>
                <w:sz w:val="18"/>
              </w:rPr>
              <w:t>复审周期</w:t>
            </w:r>
          </w:p>
        </w:tc>
        <w:tc>
          <w:tcPr>
            <w:tcW w:type="dxa" w:w="4320"/>
          </w:tcPr>
          <w:p>
            <w:r>
              <w:rPr>
                <w:b w:val="0"/>
                <w:sz w:val="18"/>
              </w:rPr>
              <w:t>每 6 个月，由财务部发起</w:t>
            </w:r>
          </w:p>
        </w:tc>
      </w:tr>
    </w:tbl>
    <w:p>
      <w:pPr>
        <w:pStyle w:val="Heading2"/>
      </w:pPr>
      <w:r>
        <w:t>修订记录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版本</w:t>
            </w:r>
          </w:p>
        </w:tc>
        <w:tc>
          <w:tcPr>
            <w:tcW w:type="dxa" w:w="1728"/>
          </w:tcPr>
          <w:p>
            <w:r>
              <w:rPr>
                <w:b/>
                <w:sz w:val="18"/>
              </w:rPr>
              <w:t>日期</w:t>
            </w:r>
          </w:p>
        </w:tc>
        <w:tc>
          <w:tcPr>
            <w:tcW w:type="dxa" w:w="1728"/>
          </w:tcPr>
          <w:p>
            <w:r>
              <w:rPr>
                <w:b/>
                <w:sz w:val="18"/>
              </w:rPr>
              <w:t>修订内容</w:t>
            </w:r>
          </w:p>
        </w:tc>
        <w:tc>
          <w:tcPr>
            <w:tcW w:type="dxa" w:w="1728"/>
          </w:tcPr>
          <w:p>
            <w:r>
              <w:rPr>
                <w:b/>
                <w:sz w:val="18"/>
              </w:rPr>
              <w:t>编制</w:t>
            </w:r>
          </w:p>
        </w:tc>
        <w:tc>
          <w:tcPr>
            <w:tcW w:type="dxa" w:w="1728"/>
          </w:tcPr>
          <w:p>
            <w:r>
              <w:rPr>
                <w:b/>
                <w:sz w:val="18"/>
              </w:rPr>
              <w:t>批准</w:t>
            </w:r>
          </w:p>
        </w:tc>
      </w:tr>
      <w:tr>
        <w:tc>
          <w:tcPr>
            <w:tcW w:type="dxa" w:w="1728"/>
          </w:tcPr>
          <w:p>
            <w:r>
              <w:rPr>
                <w:b w:val="0"/>
                <w:sz w:val="18"/>
              </w:rPr>
              <w:t>v1.0</w:t>
            </w:r>
          </w:p>
        </w:tc>
        <w:tc>
          <w:tcPr>
            <w:tcW w:type="dxa" w:w="1728"/>
          </w:tcPr>
          <w:p>
            <w:r>
              <w:rPr>
                <w:b w:val="0"/>
                <w:sz w:val="18"/>
              </w:rPr>
              <w:t>2024-06-01</w:t>
            </w:r>
          </w:p>
        </w:tc>
        <w:tc>
          <w:tcPr>
            <w:tcW w:type="dxa" w:w="1728"/>
          </w:tcPr>
          <w:p>
            <w:r>
              <w:rPr>
                <w:b w:val="0"/>
                <w:sz w:val="18"/>
              </w:rPr>
              <w:t>首次发布</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v1.1</w:t>
            </w:r>
          </w:p>
        </w:tc>
        <w:tc>
          <w:tcPr>
            <w:tcW w:type="dxa" w:w="1728"/>
          </w:tcPr>
          <w:p>
            <w:r>
              <w:rPr>
                <w:b w:val="0"/>
                <w:sz w:val="18"/>
              </w:rPr>
              <w:t>2025-03-01</w:t>
            </w:r>
          </w:p>
        </w:tc>
        <w:tc>
          <w:tcPr>
            <w:tcW w:type="dxa" w:w="1728"/>
          </w:tcPr>
          <w:p>
            <w:r>
              <w:rPr>
                <w:b w:val="0"/>
                <w:sz w:val="18"/>
              </w:rPr>
              <w:t>修订第四章</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v1.2</w:t>
            </w:r>
          </w:p>
        </w:tc>
        <w:tc>
          <w:tcPr>
            <w:tcW w:type="dxa" w:w="1728"/>
          </w:tcPr>
          <w:p>
            <w:r>
              <w:rPr>
                <w:b w:val="0"/>
                <w:sz w:val="18"/>
              </w:rPr>
              <w:t>2025-09-01</w:t>
            </w:r>
          </w:p>
        </w:tc>
        <w:tc>
          <w:tcPr>
            <w:tcW w:type="dxa" w:w="1728"/>
          </w:tcPr>
          <w:p>
            <w:r>
              <w:rPr>
                <w:b w:val="0"/>
                <w:sz w:val="18"/>
              </w:rPr>
              <w:t>新增第六章</w:t>
            </w:r>
          </w:p>
        </w:tc>
        <w:tc>
          <w:tcPr>
            <w:tcW w:type="dxa" w:w="1728"/>
          </w:tcPr>
          <w:p>
            <w:r>
              <w:rPr>
                <w:b w:val="0"/>
                <w:sz w:val="18"/>
              </w:rPr>
              <w:t>财务部</w:t>
            </w:r>
          </w:p>
        </w:tc>
        <w:tc>
          <w:tcPr>
            <w:tcW w:type="dxa" w:w="1728"/>
          </w:tcPr>
          <w:p>
            <w:r>
              <w:rPr>
                <w:b w:val="0"/>
                <w:sz w:val="18"/>
              </w:rPr>
              <w:t>张××</w:t>
            </w:r>
          </w:p>
        </w:tc>
      </w:tr>
      <w:tr>
        <w:tc>
          <w:tcPr>
            <w:tcW w:type="dxa" w:w="1728"/>
          </w:tcPr>
          <w:p>
            <w:r>
              <w:rPr>
                <w:b w:val="0"/>
                <w:sz w:val="18"/>
              </w:rPr>
              <w:t>v1.3</w:t>
            </w:r>
          </w:p>
        </w:tc>
        <w:tc>
          <w:tcPr>
            <w:tcW w:type="dxa" w:w="1728"/>
          </w:tcPr>
          <w:p>
            <w:r>
              <w:rPr>
                <w:b w:val="0"/>
                <w:sz w:val="18"/>
              </w:rPr>
              <w:t>2026-03-01</w:t>
            </w:r>
          </w:p>
        </w:tc>
        <w:tc>
          <w:tcPr>
            <w:tcW w:type="dxa" w:w="1728"/>
          </w:tcPr>
          <w:p>
            <w:r>
              <w:rPr>
                <w:b w:val="0"/>
                <w:sz w:val="18"/>
              </w:rPr>
              <w:t>按公司统一文档模板重构章节编号与文档控制项；修订 3.3 节</w:t>
            </w:r>
          </w:p>
        </w:tc>
        <w:tc>
          <w:tcPr>
            <w:tcW w:type="dxa" w:w="1728"/>
          </w:tcPr>
          <w:p>
            <w:r>
              <w:rPr>
                <w:b w:val="0"/>
                <w:sz w:val="18"/>
              </w:rPr>
              <w:t>财务部</w:t>
            </w:r>
          </w:p>
        </w:tc>
        <w:tc>
          <w:tcPr>
            <w:tcW w:type="dxa" w:w="1728"/>
          </w:tcPr>
          <w:p>
            <w:r>
              <w:rPr>
                <w:b w:val="0"/>
                <w:sz w:val="18"/>
              </w:rPr>
              <w:t>张××</w:t>
            </w:r>
          </w:p>
        </w:tc>
      </w:tr>
    </w:tbl>
    <w:p>
      <w:pPr>
        <w:pStyle w:val="Heading2"/>
      </w:pPr>
      <w:r>
        <w:t>第一章 总则</w:t>
      </w:r>
    </w:p>
    <w:p>
      <w:pPr>
        <w:pStyle w:val="Heading3"/>
      </w:pPr>
      <w:r>
        <w:t>1.1 目的</w:t>
      </w:r>
    </w:p>
    <w:p>
      <w:r>
        <w:t>规范出口退（免）税申报、单证备案与跨境税务合规工作，确保退税款及时足额到账、申报资料完整可追溯，避免因单证缺失或申报逾期造成退税损失与税务处罚。</w:t>
      </w:r>
    </w:p>
    <w:p>
      <w:pPr>
        <w:pStyle w:val="Heading3"/>
      </w:pPr>
      <w:r>
        <w:t>1.2 适用范围</w:t>
      </w:r>
    </w:p>
    <w:p>
      <w:r>
        <w:t>本制度适用于公司及各关联公司以一般贸易、跨境电商零售出口、市场采购贸易等方式出口的货物。加工贸易、服务贸易出口另行参照执行。海外子公司在其所在国缴纳的间接税按当地法律执行，本制度仅作内部管理参照。</w:t>
      </w:r>
    </w:p>
    <w:p>
      <w:pPr>
        <w:pStyle w:val="Heading3"/>
      </w:pPr>
      <w:r>
        <w:t>1.3 术语定义</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术语</w:t>
            </w:r>
          </w:p>
        </w:tc>
        <w:tc>
          <w:tcPr>
            <w:tcW w:type="dxa" w:w="4320"/>
          </w:tcPr>
          <w:p>
            <w:r>
              <w:rPr>
                <w:b/>
                <w:sz w:val="18"/>
              </w:rPr>
              <w:t>定义</w:t>
            </w:r>
          </w:p>
        </w:tc>
      </w:tr>
      <w:tr>
        <w:tc>
          <w:tcPr>
            <w:tcW w:type="dxa" w:w="4320"/>
          </w:tcPr>
          <w:p>
            <w:r>
              <w:rPr>
                <w:b w:val="0"/>
                <w:sz w:val="18"/>
              </w:rPr>
              <w:t>出口退（免）税</w:t>
            </w:r>
          </w:p>
        </w:tc>
        <w:tc>
          <w:tcPr>
            <w:tcW w:type="dxa" w:w="4320"/>
          </w:tcPr>
          <w:p>
            <w:r>
              <w:rPr>
                <w:b w:val="0"/>
                <w:sz w:val="18"/>
              </w:rPr>
              <w:t>对出口货物退还或免征其在国内生产、流通环节已缴纳的增值税与消费税</w:t>
            </w:r>
          </w:p>
        </w:tc>
      </w:tr>
      <w:tr>
        <w:tc>
          <w:tcPr>
            <w:tcW w:type="dxa" w:w="4320"/>
          </w:tcPr>
          <w:p>
            <w:r>
              <w:rPr>
                <w:b w:val="0"/>
                <w:sz w:val="18"/>
              </w:rPr>
              <w:t>免抵退</w:t>
            </w:r>
          </w:p>
        </w:tc>
        <w:tc>
          <w:tcPr>
            <w:tcW w:type="dxa" w:w="4320"/>
          </w:tcPr>
          <w:p>
            <w:r>
              <w:rPr>
                <w:b w:val="0"/>
                <w:sz w:val="18"/>
              </w:rPr>
              <w:t>生产企业出口自产货物适用的退税办法，以免抵退税额抵减内销应纳税额</w:t>
            </w:r>
          </w:p>
        </w:tc>
      </w:tr>
      <w:tr>
        <w:tc>
          <w:tcPr>
            <w:tcW w:type="dxa" w:w="4320"/>
          </w:tcPr>
          <w:p>
            <w:r>
              <w:rPr>
                <w:b w:val="0"/>
                <w:sz w:val="18"/>
              </w:rPr>
              <w:t>免退税</w:t>
            </w:r>
          </w:p>
        </w:tc>
        <w:tc>
          <w:tcPr>
            <w:tcW w:type="dxa" w:w="4320"/>
          </w:tcPr>
          <w:p>
            <w:r>
              <w:rPr>
                <w:b w:val="0"/>
                <w:sz w:val="18"/>
              </w:rPr>
              <w:t>外贸企业出口货物适用的退税办法，免征出口环节增值税并退还国内采购环节进项税</w:t>
            </w:r>
          </w:p>
        </w:tc>
      </w:tr>
      <w:tr>
        <w:tc>
          <w:tcPr>
            <w:tcW w:type="dxa" w:w="4320"/>
          </w:tcPr>
          <w:p>
            <w:r>
              <w:rPr>
                <w:b w:val="0"/>
                <w:sz w:val="18"/>
              </w:rPr>
              <w:t>出口货物离岸价（FOB）</w:t>
            </w:r>
          </w:p>
        </w:tc>
        <w:tc>
          <w:tcPr>
            <w:tcW w:type="dxa" w:w="4320"/>
          </w:tcPr>
          <w:p>
            <w:r>
              <w:rPr>
                <w:b w:val="0"/>
                <w:sz w:val="18"/>
              </w:rPr>
              <w:t>货物在装运港装上运输工具后的离岸价格，为计算退税额的计税依据</w:t>
            </w:r>
          </w:p>
        </w:tc>
      </w:tr>
      <w:tr>
        <w:tc>
          <w:tcPr>
            <w:tcW w:type="dxa" w:w="4320"/>
          </w:tcPr>
          <w:p>
            <w:r>
              <w:rPr>
                <w:b w:val="0"/>
                <w:sz w:val="18"/>
              </w:rPr>
              <w:t>收汇</w:t>
            </w:r>
          </w:p>
        </w:tc>
        <w:tc>
          <w:tcPr>
            <w:tcW w:type="dxa" w:w="4320"/>
          </w:tcPr>
          <w:p>
            <w:r>
              <w:rPr>
                <w:b w:val="0"/>
                <w:sz w:val="18"/>
              </w:rPr>
              <w:t>出口货物对应的外汇货款进入公司外汇账户</w:t>
            </w:r>
          </w:p>
        </w:tc>
      </w:tr>
    </w:tbl>
    <w:p>
      <w:pPr>
        <w:pStyle w:val="Heading2"/>
      </w:pPr>
      <w:r>
        <w:t>第二章 出口退（免）税资格与备案</w:t>
      </w:r>
    </w:p>
    <w:p>
      <w:pPr>
        <w:pStyle w:val="Heading3"/>
      </w:pPr>
      <w:r>
        <w:t>2.1 备案要求</w:t>
      </w:r>
    </w:p>
    <w:p>
      <w:r>
        <w:t>公司须在首次出口业务发生前完成出口退（免）税备案，备案材料由税务岗负责准备与提交：</w:t>
      </w:r>
    </w:p>
    <w:p>
      <w:r>
        <w:t>1. 出口退（免）税备案表。</w:t>
      </w:r>
    </w:p>
    <w:p>
      <w:r>
        <w:t>2. 对外贸易经营者备案登记表或外商投资企业批准证书。</w:t>
      </w:r>
    </w:p>
    <w:p>
      <w:r>
        <w:t>3. 海关进出口货物收发货人备案回执。</w:t>
      </w:r>
    </w:p>
    <w:p>
      <w:r>
        <w:t>4. 银行开户许可证及外汇账户信息。</w:t>
      </w:r>
    </w:p>
    <w:p>
      <w:r>
        <w:t>5. 一般纳税人资格证明。</w:t>
      </w:r>
    </w:p>
    <w:p>
      <w:pPr>
        <w:pStyle w:val="Heading3"/>
      </w:pPr>
      <w:r>
        <w:t>2.2 变更与撤回</w:t>
      </w:r>
    </w:p>
    <w:p>
      <w:r>
        <w:t>备案信息发生变更的，须自变更之日起 30 日内办理备案变更。备案内容包含企业名称、法定代表人、经营范围、退税账户等。公司注销或不再从事出口业务的，须办理备案撤回并结清退税款。</w:t>
      </w:r>
    </w:p>
    <w:p>
      <w:pPr>
        <w:pStyle w:val="Heading3"/>
      </w:pPr>
      <w:r>
        <w:t>2.3 退税方式选择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企业类型</w:t>
            </w:r>
          </w:p>
        </w:tc>
        <w:tc>
          <w:tcPr>
            <w:tcW w:type="dxa" w:w="2880"/>
          </w:tcPr>
          <w:p>
            <w:r>
              <w:rPr>
                <w:b/>
                <w:sz w:val="18"/>
              </w:rPr>
              <w:t>适用退税办法</w:t>
            </w:r>
          </w:p>
        </w:tc>
        <w:tc>
          <w:tcPr>
            <w:tcW w:type="dxa" w:w="2880"/>
          </w:tcPr>
          <w:p>
            <w:r>
              <w:rPr>
                <w:b/>
                <w:sz w:val="18"/>
              </w:rPr>
              <w:t>退税依据</w:t>
            </w:r>
          </w:p>
        </w:tc>
      </w:tr>
      <w:tr>
        <w:tc>
          <w:tcPr>
            <w:tcW w:type="dxa" w:w="2880"/>
          </w:tcPr>
          <w:p>
            <w:r>
              <w:rPr>
                <w:b w:val="0"/>
                <w:sz w:val="18"/>
              </w:rPr>
              <w:t>生产企业（自产货物出口）</w:t>
            </w:r>
          </w:p>
        </w:tc>
        <w:tc>
          <w:tcPr>
            <w:tcW w:type="dxa" w:w="2880"/>
          </w:tcPr>
          <w:p>
            <w:r>
              <w:rPr>
                <w:b w:val="0"/>
                <w:sz w:val="18"/>
              </w:rPr>
              <w:t>免抵退</w:t>
            </w:r>
          </w:p>
        </w:tc>
        <w:tc>
          <w:tcPr>
            <w:tcW w:type="dxa" w:w="2880"/>
          </w:tcPr>
          <w:p>
            <w:r>
              <w:rPr>
                <w:b w:val="0"/>
                <w:sz w:val="18"/>
              </w:rPr>
              <w:t>出口货物离岸价 × 退税率</w:t>
            </w:r>
          </w:p>
        </w:tc>
      </w:tr>
      <w:tr>
        <w:tc>
          <w:tcPr>
            <w:tcW w:type="dxa" w:w="2880"/>
          </w:tcPr>
          <w:p>
            <w:r>
              <w:rPr>
                <w:b w:val="0"/>
                <w:sz w:val="18"/>
              </w:rPr>
              <w:t>外贸企业（收购货物出口）</w:t>
            </w:r>
          </w:p>
        </w:tc>
        <w:tc>
          <w:tcPr>
            <w:tcW w:type="dxa" w:w="2880"/>
          </w:tcPr>
          <w:p>
            <w:r>
              <w:rPr>
                <w:b w:val="0"/>
                <w:sz w:val="18"/>
              </w:rPr>
              <w:t>免退税</w:t>
            </w:r>
          </w:p>
        </w:tc>
        <w:tc>
          <w:tcPr>
            <w:tcW w:type="dxa" w:w="2880"/>
          </w:tcPr>
          <w:p>
            <w:r>
              <w:rPr>
                <w:b w:val="0"/>
                <w:sz w:val="18"/>
              </w:rPr>
              <w:t>购进出口货物的增值税专用发票金额 × 退税率</w:t>
            </w:r>
          </w:p>
        </w:tc>
      </w:tr>
      <w:tr>
        <w:tc>
          <w:tcPr>
            <w:tcW w:type="dxa" w:w="2880"/>
          </w:tcPr>
          <w:p>
            <w:r>
              <w:rPr>
                <w:b w:val="0"/>
                <w:sz w:val="18"/>
              </w:rPr>
              <w:t>跨境电商零售出口</w:t>
            </w:r>
          </w:p>
        </w:tc>
        <w:tc>
          <w:tcPr>
            <w:tcW w:type="dxa" w:w="2880"/>
          </w:tcPr>
          <w:p>
            <w:r>
              <w:rPr>
                <w:b w:val="0"/>
                <w:sz w:val="18"/>
              </w:rPr>
              <w:t>依财政部与税务总局公告执行</w:t>
            </w:r>
          </w:p>
        </w:tc>
        <w:tc>
          <w:tcPr>
            <w:tcW w:type="dxa" w:w="2880"/>
          </w:tcPr>
          <w:p>
            <w:r>
              <w:rPr>
                <w:b w:val="0"/>
                <w:sz w:val="18"/>
              </w:rPr>
              <w:t>按公告规定的退税或免税办法处理</w:t>
            </w:r>
          </w:p>
        </w:tc>
      </w:tr>
    </w:tbl>
    <w:p>
      <w:pPr>
        <w:pStyle w:val="Heading2"/>
      </w:pPr>
      <w:r>
        <w:t>第三章 退税率与计算方法</w:t>
      </w:r>
    </w:p>
    <w:p>
      <w:pPr>
        <w:pStyle w:val="Heading3"/>
      </w:pPr>
      <w:r>
        <w:t>3.1 退税率适用范围</w:t>
      </w:r>
    </w:p>
    <w:p>
      <w:r>
        <w:t>退税率依据出口货物的商品编码（HS 编码）确定，由税务岗在每次出口前核对，不得沿用旧编码的退税率。</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商品类别</w:t>
            </w:r>
          </w:p>
        </w:tc>
        <w:tc>
          <w:tcPr>
            <w:tcW w:type="dxa" w:w="4320"/>
          </w:tcPr>
          <w:p>
            <w:r>
              <w:rPr>
                <w:b/>
                <w:sz w:val="18"/>
              </w:rPr>
              <w:t>增值税退税率</w:t>
            </w:r>
          </w:p>
        </w:tc>
      </w:tr>
      <w:tr>
        <w:tc>
          <w:tcPr>
            <w:tcW w:type="dxa" w:w="4320"/>
          </w:tcPr>
          <w:p>
            <w:r>
              <w:rPr>
                <w:b w:val="0"/>
                <w:sz w:val="18"/>
              </w:rPr>
              <w:t>机电产品、皮革制品、不锈钢制品</w:t>
            </w:r>
          </w:p>
        </w:tc>
        <w:tc>
          <w:tcPr>
            <w:tcW w:type="dxa" w:w="4320"/>
          </w:tcPr>
          <w:p>
            <w:r>
              <w:rPr>
                <w:b w:val="0"/>
                <w:sz w:val="18"/>
              </w:rPr>
              <w:t>13%</w:t>
            </w:r>
          </w:p>
        </w:tc>
      </w:tr>
      <w:tr>
        <w:tc>
          <w:tcPr>
            <w:tcW w:type="dxa" w:w="4320"/>
          </w:tcPr>
          <w:p>
            <w:r>
              <w:rPr>
                <w:b w:val="0"/>
                <w:sz w:val="18"/>
              </w:rPr>
              <w:t>农产品加工品、部分化工产品</w:t>
            </w:r>
          </w:p>
        </w:tc>
        <w:tc>
          <w:tcPr>
            <w:tcW w:type="dxa" w:w="4320"/>
          </w:tcPr>
          <w:p>
            <w:r>
              <w:rPr>
                <w:b w:val="0"/>
                <w:sz w:val="18"/>
              </w:rPr>
              <w:t>9%</w:t>
            </w:r>
          </w:p>
        </w:tc>
      </w:tr>
      <w:tr>
        <w:tc>
          <w:tcPr>
            <w:tcW w:type="dxa" w:w="4320"/>
          </w:tcPr>
          <w:p>
            <w:r>
              <w:rPr>
                <w:b w:val="0"/>
                <w:sz w:val="18"/>
              </w:rPr>
              <w:t>部分资源类产品</w:t>
            </w:r>
          </w:p>
        </w:tc>
        <w:tc>
          <w:tcPr>
            <w:tcW w:type="dxa" w:w="4320"/>
          </w:tcPr>
          <w:p>
            <w:r>
              <w:rPr>
                <w:b w:val="0"/>
                <w:sz w:val="18"/>
              </w:rPr>
              <w:t>6%</w:t>
            </w:r>
          </w:p>
        </w:tc>
      </w:tr>
      <w:tr>
        <w:tc>
          <w:tcPr>
            <w:tcW w:type="dxa" w:w="4320"/>
          </w:tcPr>
          <w:p>
            <w:r>
              <w:rPr>
                <w:b w:val="0"/>
                <w:sz w:val="18"/>
              </w:rPr>
              <w:t>国家取消退税的产品</w:t>
            </w:r>
          </w:p>
        </w:tc>
        <w:tc>
          <w:tcPr>
            <w:tcW w:type="dxa" w:w="4320"/>
          </w:tcPr>
          <w:p>
            <w:r>
              <w:rPr>
                <w:b w:val="0"/>
                <w:sz w:val="18"/>
              </w:rPr>
              <w:t>0%</w:t>
            </w:r>
          </w:p>
        </w:tc>
      </w:tr>
    </w:tbl>
    <w:p>
      <w:pPr>
        <w:pStyle w:val="Heading3"/>
      </w:pPr>
      <w:r>
        <w:t>3.2 退税额计算</w:t>
      </w:r>
    </w:p>
    <w:p>
      <w:r>
        <w:t>出口货物增值税退税额按下列公式计算：</w:t>
      </w:r>
    </w:p>
    <w:p>
      <w:pPr>
        <w:ind w:left="567"/>
      </w:pPr>
      <w:r>
        <w:rPr>
          <w:rFonts w:ascii="Consolas" w:hAnsi="Consolas"/>
          <w:sz w:val="18"/>
        </w:rPr>
        <w:t>退税额 = 出口货物离岸价 × 外汇人民币折合率 × 退税率</w:t>
      </w:r>
    </w:p>
    <w:p>
      <w:r>
        <w:t>- 外汇人民币折合率采用出口报关当月第一个工作日中国人民银行公布的人民币汇率中间价，一经确定，当月内不再变动。</w:t>
      </w:r>
    </w:p>
    <w:p>
      <w:r>
        <w:t>- 外贸企业按购进货物增值税专用发票上注明的不含税金额与实际退税率计算退税额。</w:t>
      </w:r>
    </w:p>
    <w:p>
      <w:r>
        <w:t>- 退税额以人民币计算并保留至分位，分位以下四舍五入。</w:t>
      </w:r>
    </w:p>
    <w:p>
      <w:pPr>
        <w:pStyle w:val="Heading3"/>
      </w:pPr>
      <w:r>
        <w:t>3.3 不得免征和抵扣税额</w:t>
      </w:r>
    </w:p>
    <w:p>
      <w:r>
        <w:t>生产企业出口货物中，征税率与退税率存在差率的部分，作进项税额转出处理：</w:t>
      </w:r>
    </w:p>
    <w:p>
      <w:pPr>
        <w:ind w:left="567"/>
      </w:pPr>
      <w:r>
        <w:rPr>
          <w:rFonts w:ascii="Consolas" w:hAnsi="Consolas"/>
          <w:sz w:val="18"/>
        </w:rPr>
        <w:t>当期不得免征和抵扣税额 = 当期出口货物离岸价 × 外汇人民币折合率 ×（征税率 - 退税率）</w:t>
      </w:r>
    </w:p>
    <w:p>
      <w:r>
        <w:t>进项税额转出部分计入出口货物成本，不得再行抵扣。财务部须在每月增值税申报前完成该项计算并留存计算底稿。</w:t>
      </w:r>
    </w:p>
    <w:p>
      <w:pPr>
        <w:pStyle w:val="Heading2"/>
      </w:pPr>
      <w:r>
        <w:t>第四章 申报时限与流程</w:t>
      </w:r>
    </w:p>
    <w:p>
      <w:pPr>
        <w:pStyle w:val="Heading3"/>
      </w:pPr>
      <w:r>
        <w:t>4.1 申报时限</w:t>
      </w:r>
    </w:p>
    <w:p>
      <w:r>
        <w:t>1. 出口企业须在出口货物报关单出口日期所属的次月增值税纳税申报期内，完成增值税纳税申报与出口退税申报。</w:t>
      </w:r>
    </w:p>
    <w:p>
      <w:r>
        <w:t>2. 上一年度出口的货物，须在次年 4 月 30 日前的增值税纳税申报期内完成退（免）税申报，逾期不再受理，视同内销征税。</w:t>
      </w:r>
    </w:p>
    <w:p>
      <w:r>
        <w:t>3. 因单证信息不齐、无法收汇等特殊原因无法按期申报的，须在申报期限届满前向主管税务机关提交延期申报申请，延期最长不超过 3 个月。</w:t>
      </w:r>
    </w:p>
    <w:p>
      <w:r>
        <w:t>4. 出口退税申报后，税务机关审核通过并办理退库的周期一般为 20 至 30 个工作日。</w:t>
      </w:r>
    </w:p>
    <w:p>
      <w:pPr>
        <w:pStyle w:val="Heading3"/>
      </w:pPr>
      <w:r>
        <w:t>4.2 申报流程</w:t>
      </w:r>
    </w:p>
    <w:p>
      <w:r>
        <w:t>1. 税务岗在出口后 5 个工作日内收集报关单、发票、装箱单等原始单证。</w:t>
      </w:r>
    </w:p>
    <w:p>
      <w:r>
        <w:t>2. 核对报关单电子信息与纸质单证一致后，录入出口退税申报系统并生成申报数据。</w:t>
      </w:r>
    </w:p>
    <w:p>
      <w:r>
        <w:t>3. 提交申报数据至主管税务机关，跟踪审核进度。</w:t>
      </w:r>
    </w:p>
    <w:p>
      <w:r>
        <w:t>4. 收到退税款后 3 个工作日内完成银行流水与账面记录的核对。</w:t>
      </w:r>
    </w:p>
    <w:p>
      <w:r>
        <w:t>5. 每月末编制出口退税台账，登记出口日期、报关单号、离岸价、退税率、申报金额与到账金额。</w:t>
      </w:r>
    </w:p>
    <w:p>
      <w:pPr>
        <w:pStyle w:val="Heading3"/>
      </w:pPr>
      <w:r>
        <w:t>4.3 单证备案</w:t>
      </w:r>
    </w:p>
    <w:p>
      <w:r>
        <w:t>出口退税单证须按下述要求备案保存：</w:t>
      </w:r>
    </w:p>
    <w:p>
      <w:r>
        <w:t>- 备案单证包括出口货物报关单、出口发票、装箱单、海运提单或空运运单、收汇凭证、购销合同。</w:t>
      </w:r>
    </w:p>
    <w:p>
      <w:r>
        <w:t>- 备案单证须与申报数据一一对应，按申报批次装订成册。</w:t>
      </w:r>
    </w:p>
    <w:p>
      <w:r>
        <w:t>- 保存期限为自出口之日起 5 年，保存期满的按会计档案销毁流程处理。</w:t>
      </w:r>
    </w:p>
    <w:p>
      <w:r>
        <w:t>- 单证备案可采用纸质或电子方式，采用电子方式的须保证不可篡改并可随时还原成纸质件。</w:t>
      </w:r>
    </w:p>
    <w:p>
      <w:pPr>
        <w:pStyle w:val="Heading2"/>
      </w:pPr>
      <w:r>
        <w:t>第五章 外汇与收汇管理</w:t>
      </w:r>
    </w:p>
    <w:p>
      <w:pPr>
        <w:pStyle w:val="Heading3"/>
      </w:pPr>
      <w:r>
        <w:t>5.1 收汇要求</w:t>
      </w:r>
    </w:p>
    <w:p>
      <w:r>
        <w:t>1. 出口货款须在规定期限内收回，收汇期限与退（免）税申报的关联要求按税务机关规定执行。</w:t>
      </w:r>
    </w:p>
    <w:p>
      <w:r>
        <w:t>2. 跨境电商平台结算的货款，以平台实际划付至公司账户的金额为收汇凭证。</w:t>
      </w:r>
    </w:p>
    <w:p>
      <w:r>
        <w:t>3. 因质量争议、汇率波动等原因产生收汇金额与报关金额不一致的，须在申报时说明原因并留存说明材料。</w:t>
      </w:r>
    </w:p>
    <w:p>
      <w:pPr>
        <w:pStyle w:val="Heading3"/>
      </w:pPr>
      <w:r>
        <w:t>5.2 外汇收支申报</w:t>
      </w:r>
    </w:p>
    <w:p>
      <w:r>
        <w:t>公司须通过国家外汇管理局国际收支申报系统，于收汇或付汇之日起 5 个工作日内完成国际收支申报。单笔等值 5000 美元以下的跨境收支，按外汇局规定可免于申报，但须留存交易凭证备查。</w:t>
      </w:r>
    </w:p>
    <w:p>
      <w:pPr>
        <w:pStyle w:val="Heading3"/>
      </w:pPr>
      <w:r>
        <w:t>5.3 汇率风险</w:t>
      </w:r>
    </w:p>
    <w:p>
      <w:r>
        <w:t>财务部可根据外币敞口规模，经总经理批准后办理远期结汇锁定汇率。单笔远期结汇金额不超过对应外币应收账款的 100%，期限不超过 12 个月。</w:t>
      </w:r>
    </w:p>
    <w:p>
      <w:pPr>
        <w:pStyle w:val="Heading2"/>
      </w:pPr>
      <w:r>
        <w:t>第六章 跨境税务合规</w:t>
      </w:r>
    </w:p>
    <w:p>
      <w:pPr>
        <w:pStyle w:val="Heading3"/>
      </w:pPr>
      <w:r>
        <w:t>6.1 欧盟增值税（VAT）</w:t>
      </w:r>
    </w:p>
    <w:p>
      <w:r>
        <w:t>1. 使用欧盟境内仓储的，须在仓储所在国完成 VAT 注册，并按当地税率申报缴纳。</w:t>
      </w:r>
    </w:p>
    <w:p>
      <w:r>
        <w:t>2. 欧盟境内远程销售适用一站式申报（OSS），当年度对某一成员国的远程销售额超过 10000 欧元门槛后，须按消费者所在地税率申报。</w:t>
      </w:r>
    </w:p>
    <w:p>
      <w:r>
        <w:t>3. 进口环节增值税可选择在申报时递延，由进口人自行申报。</w:t>
      </w:r>
    </w:p>
    <w:p>
      <w:r>
        <w:t>4. VAT 申报周期依仓储国规定执行，通常为月度或季度，申报截止日多为次月 20 日前。</w:t>
      </w:r>
    </w:p>
    <w:p>
      <w:pPr>
        <w:pStyle w:val="Heading3"/>
      </w:pPr>
      <w:r>
        <w:t>6.2 英国增值税</w:t>
      </w:r>
    </w:p>
    <w:p>
      <w:r>
        <w:t>1. 英国站销售须注册英国 VAT，标准税率为 20%。</w:t>
      </w:r>
    </w:p>
    <w:p>
      <w:r>
        <w:t>2. 对英国境内发货的订单，无论金额大小均须缴纳 VAT；对境外直邮且货值不超过 135 英镑的订单，由平台代扣代缴。</w:t>
      </w:r>
    </w:p>
    <w:p>
      <w:r>
        <w:t>3. 英国 VAT 申报周期为季度申报，申报与缴款截止日为季度结束后的次月 7 日前。</w:t>
      </w:r>
    </w:p>
    <w:p>
      <w:pPr>
        <w:pStyle w:val="Heading3"/>
      </w:pPr>
      <w:r>
        <w:t>6.3 美国销售税</w:t>
      </w:r>
    </w:p>
    <w:p>
      <w:r>
        <w:t>美国各州销售税由平台按经济关联（Economic Nexus）规则代扣代缴。多数州的关联门槛为当年度销售额 10 万美元或交易笔数 200 笔，达到任一条件即须注册并申报。公司须在达到门槛后 30 日内完成注册。</w:t>
      </w:r>
    </w:p>
    <w:p>
      <w:pPr>
        <w:pStyle w:val="Heading3"/>
      </w:pPr>
      <w:r>
        <w:t>6.4 转让定价与关联交易</w:t>
      </w:r>
    </w:p>
    <w:p>
      <w:r>
        <w:t>公司与海外关联公司之间的货物购销、服务提供、资金借贷等交易，须遵循独立交易原则。关联交易须签订书面协议并留存定价依据，年度关联交易金额超过规定标准的，须在年度企业所得税申报时填报关联业务往来报告表。</w:t>
      </w:r>
    </w:p>
    <w:p>
      <w:pPr>
        <w:pStyle w:val="Heading3"/>
      </w:pPr>
      <w:r>
        <w:t>6.5 常设机构风险</w:t>
      </w:r>
    </w:p>
    <w:p>
      <w:r>
        <w:t>公司人员赴境外从事安装、技术服务、商务谈判等活动的，须评估是否构成常设机构。在同一国家停留时间累计接近 183 天的，须提前报税务岗评估税务影响。</w:t>
      </w:r>
    </w:p>
    <w:p>
      <w:pPr>
        <w:pStyle w:val="Heading2"/>
      </w:pPr>
      <w:r>
        <w:t>第七章 风险控制与违规处理</w:t>
      </w:r>
    </w:p>
    <w:p>
      <w:pPr>
        <w:pStyle w:val="Heading3"/>
      </w:pPr>
      <w:r>
        <w:t>7.1 主要风险与控制措施</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风险类型</w:t>
            </w:r>
          </w:p>
        </w:tc>
        <w:tc>
          <w:tcPr>
            <w:tcW w:type="dxa" w:w="4320"/>
          </w:tcPr>
          <w:p>
            <w:r>
              <w:rPr>
                <w:b/>
                <w:sz w:val="18"/>
              </w:rPr>
              <w:t>控制措施</w:t>
            </w:r>
          </w:p>
        </w:tc>
      </w:tr>
      <w:tr>
        <w:tc>
          <w:tcPr>
            <w:tcW w:type="dxa" w:w="4320"/>
          </w:tcPr>
          <w:p>
            <w:r>
              <w:rPr>
                <w:b w:val="0"/>
                <w:sz w:val="18"/>
              </w:rPr>
              <w:t>退税率适用错误</w:t>
            </w:r>
          </w:p>
        </w:tc>
        <w:tc>
          <w:tcPr>
            <w:tcW w:type="dxa" w:w="4320"/>
          </w:tcPr>
          <w:p>
            <w:r>
              <w:rPr>
                <w:b w:val="0"/>
                <w:sz w:val="18"/>
              </w:rPr>
              <w:t>出口前核对 HS 编码，每季度复核退税率是否调整</w:t>
            </w:r>
          </w:p>
        </w:tc>
      </w:tr>
      <w:tr>
        <w:tc>
          <w:tcPr>
            <w:tcW w:type="dxa" w:w="4320"/>
          </w:tcPr>
          <w:p>
            <w:r>
              <w:rPr>
                <w:b w:val="0"/>
                <w:sz w:val="18"/>
              </w:rPr>
              <w:t>申报逾期</w:t>
            </w:r>
          </w:p>
        </w:tc>
        <w:tc>
          <w:tcPr>
            <w:tcW w:type="dxa" w:w="4320"/>
          </w:tcPr>
          <w:p>
            <w:r>
              <w:rPr>
                <w:b w:val="0"/>
                <w:sz w:val="18"/>
              </w:rPr>
              <w:t>建立申报日历，每月 5 日前预警；次年 4 月 30 日大限前 30 日专项跟进</w:t>
            </w:r>
          </w:p>
        </w:tc>
      </w:tr>
      <w:tr>
        <w:tc>
          <w:tcPr>
            <w:tcW w:type="dxa" w:w="4320"/>
          </w:tcPr>
          <w:p>
            <w:r>
              <w:rPr>
                <w:b w:val="0"/>
                <w:sz w:val="18"/>
              </w:rPr>
              <w:t>单证缺失</w:t>
            </w:r>
          </w:p>
        </w:tc>
        <w:tc>
          <w:tcPr>
            <w:tcW w:type="dxa" w:w="4320"/>
          </w:tcPr>
          <w:p>
            <w:r>
              <w:rPr>
                <w:b w:val="0"/>
                <w:sz w:val="18"/>
              </w:rPr>
              <w:t>出口后 5 个工作日内收齐单证，未收齐的通报责任部门</w:t>
            </w:r>
          </w:p>
        </w:tc>
      </w:tr>
      <w:tr>
        <w:tc>
          <w:tcPr>
            <w:tcW w:type="dxa" w:w="4320"/>
          </w:tcPr>
          <w:p>
            <w:r>
              <w:rPr>
                <w:b w:val="0"/>
                <w:sz w:val="18"/>
              </w:rPr>
              <w:t>收汇异常</w:t>
            </w:r>
          </w:p>
        </w:tc>
        <w:tc>
          <w:tcPr>
            <w:tcW w:type="dxa" w:w="4320"/>
          </w:tcPr>
          <w:p>
            <w:r>
              <w:rPr>
                <w:b w:val="0"/>
                <w:sz w:val="18"/>
              </w:rPr>
              <w:t>每月核对收汇台账，超期未收汇的启动催收与说明流程</w:t>
            </w:r>
          </w:p>
        </w:tc>
      </w:tr>
      <w:tr>
        <w:tc>
          <w:tcPr>
            <w:tcW w:type="dxa" w:w="4320"/>
          </w:tcPr>
          <w:p>
            <w:r>
              <w:rPr>
                <w:b w:val="0"/>
                <w:sz w:val="18"/>
              </w:rPr>
              <w:t>汇率折算错误</w:t>
            </w:r>
          </w:p>
        </w:tc>
        <w:tc>
          <w:tcPr>
            <w:tcW w:type="dxa" w:w="4320"/>
          </w:tcPr>
          <w:p>
            <w:r>
              <w:rPr>
                <w:b w:val="0"/>
                <w:sz w:val="18"/>
              </w:rPr>
              <w:t>统一使用报关当月第一个工作日的中间价，由税务岗与会计岗双人复核</w:t>
            </w:r>
          </w:p>
        </w:tc>
      </w:tr>
    </w:tbl>
    <w:p>
      <w:pPr>
        <w:pStyle w:val="Heading3"/>
      </w:pPr>
      <w:r>
        <w:t>7.2 违规处理</w:t>
      </w:r>
    </w:p>
    <w:p>
      <w:r>
        <w:t>1. 因个人原因导致退税申报逾期或单证缺失造成退税损失的，按公司纪律处分处理，并视损失金额追究赔偿责任。</w:t>
      </w:r>
    </w:p>
    <w:p>
      <w:r>
        <w:t>2. 伪造、变造出口单证骗取退税的，解除劳动合同并移送司法机关。</w:t>
      </w:r>
    </w:p>
    <w:p>
      <w:r>
        <w:t>3. 泄露退税申报数据、客户信息等涉税信息的，按保密制度处理。</w:t>
      </w:r>
    </w:p>
    <w:p>
      <w:pPr>
        <w:pStyle w:val="Heading2"/>
      </w:pPr>
      <w:r>
        <w:t>第八章 附则</w:t>
      </w:r>
    </w:p>
    <w:p>
      <w:r>
        <w:t>- 本制度由财务部负责解释。</w:t>
      </w:r>
    </w:p>
    <w:p>
      <w:r>
        <w:t>- 本制度每半年复审一次，税收政策调整时即时修订。</w:t>
      </w:r>
    </w:p>
    <w:p>
      <w:r>
        <w:t>- 本制度涉及的税收政策以财政部、国家税务总局及主管税务机关的最新规定为准。</w:t>
      </w:r>
    </w:p>
    <w:p>
      <w:r>
        <w:t>- 自本版本生效之日起，v1.2 版同时废止。</w:t>
      </w:r>
    </w:p>
    <w:p>
      <w:r>
        <w:t>- 关联文件：《全球优选 · 财务报销与差旅管理办法》《全球优选 · 跨境物流操作指南》《全球优选 · 跨境售后与退换货政策》《出口退税单证管理办法》。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