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全球优选 · 财务报销与差旅管理办法</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文档控制项</w:t>
            </w:r>
          </w:p>
        </w:tc>
        <w:tc>
          <w:tcPr>
            <w:tcW w:type="dxa" w:w="4320"/>
          </w:tcPr>
          <w:p>
            <w:r>
              <w:rPr>
                <w:b/>
                <w:sz w:val="18"/>
              </w:rPr>
              <w:t>内容</w:t>
            </w:r>
          </w:p>
        </w:tc>
      </w:tr>
      <w:tr>
        <w:tc>
          <w:tcPr>
            <w:tcW w:type="dxa" w:w="4320"/>
          </w:tcPr>
          <w:p>
            <w:r>
              <w:rPr>
                <w:b w:val="0"/>
                <w:sz w:val="18"/>
              </w:rPr>
              <w:t>文件编号</w:t>
            </w:r>
          </w:p>
        </w:tc>
        <w:tc>
          <w:tcPr>
            <w:tcW w:type="dxa" w:w="4320"/>
          </w:tcPr>
          <w:p>
            <w:r>
              <w:rPr>
                <w:b w:val="0"/>
                <w:sz w:val="18"/>
              </w:rPr>
              <w:t>FIN-EXP-2026-003</w:t>
            </w:r>
          </w:p>
        </w:tc>
      </w:tr>
      <w:tr>
        <w:tc>
          <w:tcPr>
            <w:tcW w:type="dxa" w:w="4320"/>
          </w:tcPr>
          <w:p>
            <w:r>
              <w:rPr>
                <w:b w:val="0"/>
                <w:sz w:val="18"/>
              </w:rPr>
              <w:t>版本号</w:t>
            </w:r>
          </w:p>
        </w:tc>
        <w:tc>
          <w:tcPr>
            <w:tcW w:type="dxa" w:w="4320"/>
          </w:tcPr>
          <w:p>
            <w:r>
              <w:rPr>
                <w:b w:val="0"/>
                <w:sz w:val="18"/>
              </w:rPr>
              <w:t>v2.4</w:t>
            </w:r>
          </w:p>
        </w:tc>
      </w:tr>
      <w:tr>
        <w:tc>
          <w:tcPr>
            <w:tcW w:type="dxa" w:w="4320"/>
          </w:tcPr>
          <w:p>
            <w:r>
              <w:rPr>
                <w:b w:val="0"/>
                <w:sz w:val="18"/>
              </w:rPr>
              <w:t>生效日期</w:t>
            </w:r>
          </w:p>
        </w:tc>
        <w:tc>
          <w:tcPr>
            <w:tcW w:type="dxa" w:w="4320"/>
          </w:tcPr>
          <w:p>
            <w:r>
              <w:rPr>
                <w:b w:val="0"/>
                <w:sz w:val="18"/>
              </w:rPr>
              <w:t>2026-02-01</w:t>
            </w:r>
          </w:p>
        </w:tc>
      </w:tr>
      <w:tr>
        <w:tc>
          <w:tcPr>
            <w:tcW w:type="dxa" w:w="4320"/>
          </w:tcPr>
          <w:p>
            <w:r>
              <w:rPr>
                <w:b w:val="0"/>
                <w:sz w:val="18"/>
              </w:rPr>
              <w:t>密级</w:t>
            </w:r>
          </w:p>
        </w:tc>
        <w:tc>
          <w:tcPr>
            <w:tcW w:type="dxa" w:w="4320"/>
          </w:tcPr>
          <w:p>
            <w:r>
              <w:rPr>
                <w:b w:val="0"/>
                <w:sz w:val="18"/>
              </w:rPr>
              <w:t>内部（限公司员工及财务相关人员查阅）</w:t>
            </w:r>
          </w:p>
        </w:tc>
      </w:tr>
      <w:tr>
        <w:tc>
          <w:tcPr>
            <w:tcW w:type="dxa" w:w="4320"/>
          </w:tcPr>
          <w:p>
            <w:r>
              <w:rPr>
                <w:b w:val="0"/>
                <w:sz w:val="18"/>
              </w:rPr>
              <w:t>受控状态</w:t>
            </w:r>
          </w:p>
        </w:tc>
        <w:tc>
          <w:tcPr>
            <w:tcW w:type="dxa" w:w="4320"/>
          </w:tcPr>
          <w:p>
            <w:r>
              <w:rPr>
                <w:b w:val="0"/>
                <w:sz w:val="18"/>
              </w:rPr>
              <w:t>受控文件，未经许可不得外传、复制或摘录</w:t>
            </w:r>
          </w:p>
        </w:tc>
      </w:tr>
      <w:tr>
        <w:tc>
          <w:tcPr>
            <w:tcW w:type="dxa" w:w="4320"/>
          </w:tcPr>
          <w:p>
            <w:r>
              <w:rPr>
                <w:b w:val="0"/>
                <w:sz w:val="18"/>
              </w:rPr>
              <w:t>编制部门</w:t>
            </w:r>
          </w:p>
        </w:tc>
        <w:tc>
          <w:tcPr>
            <w:tcW w:type="dxa" w:w="4320"/>
          </w:tcPr>
          <w:p>
            <w:r>
              <w:rPr>
                <w:b w:val="0"/>
                <w:sz w:val="18"/>
              </w:rPr>
              <w:t>财务部</w:t>
            </w:r>
          </w:p>
        </w:tc>
      </w:tr>
      <w:tr>
        <w:tc>
          <w:tcPr>
            <w:tcW w:type="dxa" w:w="4320"/>
          </w:tcPr>
          <w:p>
            <w:r>
              <w:rPr>
                <w:b w:val="0"/>
                <w:sz w:val="18"/>
              </w:rPr>
              <w:t>审核</w:t>
            </w:r>
          </w:p>
        </w:tc>
        <w:tc>
          <w:tcPr>
            <w:tcW w:type="dxa" w:w="4320"/>
          </w:tcPr>
          <w:p>
            <w:r>
              <w:rPr>
                <w:b w:val="0"/>
                <w:sz w:val="18"/>
              </w:rPr>
              <w:t>财务总监 · 黄××</w:t>
            </w:r>
          </w:p>
        </w:tc>
      </w:tr>
      <w:tr>
        <w:tc>
          <w:tcPr>
            <w:tcW w:type="dxa" w:w="4320"/>
          </w:tcPr>
          <w:p>
            <w:r>
              <w:rPr>
                <w:b w:val="0"/>
                <w:sz w:val="18"/>
              </w:rPr>
              <w:t>批准</w:t>
            </w:r>
          </w:p>
        </w:tc>
        <w:tc>
          <w:tcPr>
            <w:tcW w:type="dxa" w:w="4320"/>
          </w:tcPr>
          <w:p>
            <w:r>
              <w:rPr>
                <w:b w:val="0"/>
                <w:sz w:val="18"/>
              </w:rPr>
              <w:t>总经理 · 张××</w:t>
            </w:r>
          </w:p>
        </w:tc>
      </w:tr>
      <w:tr>
        <w:tc>
          <w:tcPr>
            <w:tcW w:type="dxa" w:w="4320"/>
          </w:tcPr>
          <w:p>
            <w:r>
              <w:rPr>
                <w:b w:val="0"/>
                <w:sz w:val="18"/>
              </w:rPr>
              <w:t>复审周期</w:t>
            </w:r>
          </w:p>
        </w:tc>
        <w:tc>
          <w:tcPr>
            <w:tcW w:type="dxa" w:w="4320"/>
          </w:tcPr>
          <w:p>
            <w:r>
              <w:rPr>
                <w:b w:val="0"/>
                <w:sz w:val="18"/>
              </w:rPr>
              <w:t>每 6 个月，由财务部发起</w:t>
            </w:r>
          </w:p>
        </w:tc>
      </w:tr>
    </w:tbl>
    <w:p>
      <w:pPr>
        <w:pStyle w:val="Heading2"/>
      </w:pPr>
      <w:r>
        <w:t>修订记录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版本</w:t>
            </w:r>
          </w:p>
        </w:tc>
        <w:tc>
          <w:tcPr>
            <w:tcW w:type="dxa" w:w="1728"/>
          </w:tcPr>
          <w:p>
            <w:r>
              <w:rPr>
                <w:b/>
                <w:sz w:val="18"/>
              </w:rPr>
              <w:t>日期</w:t>
            </w:r>
          </w:p>
        </w:tc>
        <w:tc>
          <w:tcPr>
            <w:tcW w:type="dxa" w:w="1728"/>
          </w:tcPr>
          <w:p>
            <w:r>
              <w:rPr>
                <w:b/>
                <w:sz w:val="18"/>
              </w:rPr>
              <w:t>修订内容</w:t>
            </w:r>
          </w:p>
        </w:tc>
        <w:tc>
          <w:tcPr>
            <w:tcW w:type="dxa" w:w="1728"/>
          </w:tcPr>
          <w:p>
            <w:r>
              <w:rPr>
                <w:b/>
                <w:sz w:val="18"/>
              </w:rPr>
              <w:t>编制</w:t>
            </w:r>
          </w:p>
        </w:tc>
        <w:tc>
          <w:tcPr>
            <w:tcW w:type="dxa" w:w="1728"/>
          </w:tcPr>
          <w:p>
            <w:r>
              <w:rPr>
                <w:b/>
                <w:sz w:val="18"/>
              </w:rPr>
              <w:t>批准</w:t>
            </w:r>
          </w:p>
        </w:tc>
      </w:tr>
      <w:tr>
        <w:tc>
          <w:tcPr>
            <w:tcW w:type="dxa" w:w="1728"/>
          </w:tcPr>
          <w:p>
            <w:r>
              <w:rPr>
                <w:b w:val="0"/>
                <w:sz w:val="18"/>
              </w:rPr>
              <w:t>v1.0</w:t>
            </w:r>
          </w:p>
        </w:tc>
        <w:tc>
          <w:tcPr>
            <w:tcW w:type="dxa" w:w="1728"/>
          </w:tcPr>
          <w:p>
            <w:r>
              <w:rPr>
                <w:b w:val="0"/>
                <w:sz w:val="18"/>
              </w:rPr>
              <w:t>2024-02-01</w:t>
            </w:r>
          </w:p>
        </w:tc>
        <w:tc>
          <w:tcPr>
            <w:tcW w:type="dxa" w:w="1728"/>
          </w:tcPr>
          <w:p>
            <w:r>
              <w:rPr>
                <w:b w:val="0"/>
                <w:sz w:val="18"/>
              </w:rPr>
              <w:t>首次发布</w:t>
            </w:r>
          </w:p>
        </w:tc>
        <w:tc>
          <w:tcPr>
            <w:tcW w:type="dxa" w:w="1728"/>
          </w:tcPr>
          <w:p>
            <w:r>
              <w:rPr>
                <w:b w:val="0"/>
                <w:sz w:val="18"/>
              </w:rPr>
              <w:t>财务部</w:t>
            </w:r>
          </w:p>
        </w:tc>
        <w:tc>
          <w:tcPr>
            <w:tcW w:type="dxa" w:w="1728"/>
          </w:tcPr>
          <w:p>
            <w:r>
              <w:rPr>
                <w:b w:val="0"/>
                <w:sz w:val="18"/>
              </w:rPr>
              <w:t>张××</w:t>
            </w:r>
          </w:p>
        </w:tc>
      </w:tr>
      <w:tr>
        <w:tc>
          <w:tcPr>
            <w:tcW w:type="dxa" w:w="1728"/>
          </w:tcPr>
          <w:p>
            <w:r>
              <w:rPr>
                <w:b w:val="0"/>
                <w:sz w:val="18"/>
              </w:rPr>
              <w:t>v2.0</w:t>
            </w:r>
          </w:p>
        </w:tc>
        <w:tc>
          <w:tcPr>
            <w:tcW w:type="dxa" w:w="1728"/>
          </w:tcPr>
          <w:p>
            <w:r>
              <w:rPr>
                <w:b w:val="0"/>
                <w:sz w:val="18"/>
              </w:rPr>
              <w:t>2024-11-01</w:t>
            </w:r>
          </w:p>
        </w:tc>
        <w:tc>
          <w:tcPr>
            <w:tcW w:type="dxa" w:w="1728"/>
          </w:tcPr>
          <w:p>
            <w:r>
              <w:rPr>
                <w:b w:val="0"/>
                <w:sz w:val="18"/>
              </w:rPr>
              <w:t>修订第三章；新增第四章</w:t>
            </w:r>
          </w:p>
        </w:tc>
        <w:tc>
          <w:tcPr>
            <w:tcW w:type="dxa" w:w="1728"/>
          </w:tcPr>
          <w:p>
            <w:r>
              <w:rPr>
                <w:b w:val="0"/>
                <w:sz w:val="18"/>
              </w:rPr>
              <w:t>财务部</w:t>
            </w:r>
          </w:p>
        </w:tc>
        <w:tc>
          <w:tcPr>
            <w:tcW w:type="dxa" w:w="1728"/>
          </w:tcPr>
          <w:p>
            <w:r>
              <w:rPr>
                <w:b w:val="0"/>
                <w:sz w:val="18"/>
              </w:rPr>
              <w:t>张××</w:t>
            </w:r>
          </w:p>
        </w:tc>
      </w:tr>
      <w:tr>
        <w:tc>
          <w:tcPr>
            <w:tcW w:type="dxa" w:w="1728"/>
          </w:tcPr>
          <w:p>
            <w:r>
              <w:rPr>
                <w:b w:val="0"/>
                <w:sz w:val="18"/>
              </w:rPr>
              <w:t>v2.1</w:t>
            </w:r>
          </w:p>
        </w:tc>
        <w:tc>
          <w:tcPr>
            <w:tcW w:type="dxa" w:w="1728"/>
          </w:tcPr>
          <w:p>
            <w:r>
              <w:rPr>
                <w:b w:val="0"/>
                <w:sz w:val="18"/>
              </w:rPr>
              <w:t>2025-05-01</w:t>
            </w:r>
          </w:p>
        </w:tc>
        <w:tc>
          <w:tcPr>
            <w:tcW w:type="dxa" w:w="1728"/>
          </w:tcPr>
          <w:p>
            <w:r>
              <w:rPr>
                <w:b w:val="0"/>
                <w:sz w:val="18"/>
              </w:rPr>
              <w:t>新增 3.4 节</w:t>
            </w:r>
          </w:p>
        </w:tc>
        <w:tc>
          <w:tcPr>
            <w:tcW w:type="dxa" w:w="1728"/>
          </w:tcPr>
          <w:p>
            <w:r>
              <w:rPr>
                <w:b w:val="0"/>
                <w:sz w:val="18"/>
              </w:rPr>
              <w:t>财务部</w:t>
            </w:r>
          </w:p>
        </w:tc>
        <w:tc>
          <w:tcPr>
            <w:tcW w:type="dxa" w:w="1728"/>
          </w:tcPr>
          <w:p>
            <w:r>
              <w:rPr>
                <w:b w:val="0"/>
                <w:sz w:val="18"/>
              </w:rPr>
              <w:t>张××</w:t>
            </w:r>
          </w:p>
        </w:tc>
      </w:tr>
      <w:tr>
        <w:tc>
          <w:tcPr>
            <w:tcW w:type="dxa" w:w="1728"/>
          </w:tcPr>
          <w:p>
            <w:r>
              <w:rPr>
                <w:b w:val="0"/>
                <w:sz w:val="18"/>
              </w:rPr>
              <w:t>v2.2</w:t>
            </w:r>
          </w:p>
        </w:tc>
        <w:tc>
          <w:tcPr>
            <w:tcW w:type="dxa" w:w="1728"/>
          </w:tcPr>
          <w:p>
            <w:r>
              <w:rPr>
                <w:b w:val="0"/>
                <w:sz w:val="18"/>
              </w:rPr>
              <w:t>2025-09-01</w:t>
            </w:r>
          </w:p>
        </w:tc>
        <w:tc>
          <w:tcPr>
            <w:tcW w:type="dxa" w:w="1728"/>
          </w:tcPr>
          <w:p>
            <w:r>
              <w:rPr>
                <w:b w:val="0"/>
                <w:sz w:val="18"/>
              </w:rPr>
              <w:t>新增第六章</w:t>
            </w:r>
          </w:p>
        </w:tc>
        <w:tc>
          <w:tcPr>
            <w:tcW w:type="dxa" w:w="1728"/>
          </w:tcPr>
          <w:p>
            <w:r>
              <w:rPr>
                <w:b w:val="0"/>
                <w:sz w:val="18"/>
              </w:rPr>
              <w:t>财务部</w:t>
            </w:r>
          </w:p>
        </w:tc>
        <w:tc>
          <w:tcPr>
            <w:tcW w:type="dxa" w:w="1728"/>
          </w:tcPr>
          <w:p>
            <w:r>
              <w:rPr>
                <w:b w:val="0"/>
                <w:sz w:val="18"/>
              </w:rPr>
              <w:t>张××</w:t>
            </w:r>
          </w:p>
        </w:tc>
      </w:tr>
      <w:tr>
        <w:tc>
          <w:tcPr>
            <w:tcW w:type="dxa" w:w="1728"/>
          </w:tcPr>
          <w:p>
            <w:r>
              <w:rPr>
                <w:b w:val="0"/>
                <w:sz w:val="18"/>
              </w:rPr>
              <w:t>v2.3</w:t>
            </w:r>
          </w:p>
        </w:tc>
        <w:tc>
          <w:tcPr>
            <w:tcW w:type="dxa" w:w="1728"/>
          </w:tcPr>
          <w:p>
            <w:r>
              <w:rPr>
                <w:b w:val="0"/>
                <w:sz w:val="18"/>
              </w:rPr>
              <w:t>2025-12-01</w:t>
            </w:r>
          </w:p>
        </w:tc>
        <w:tc>
          <w:tcPr>
            <w:tcW w:type="dxa" w:w="1728"/>
          </w:tcPr>
          <w:p>
            <w:r>
              <w:rPr>
                <w:b w:val="0"/>
                <w:sz w:val="18"/>
              </w:rPr>
              <w:t>修订第二章</w:t>
            </w:r>
          </w:p>
        </w:tc>
        <w:tc>
          <w:tcPr>
            <w:tcW w:type="dxa" w:w="1728"/>
          </w:tcPr>
          <w:p>
            <w:r>
              <w:rPr>
                <w:b w:val="0"/>
                <w:sz w:val="18"/>
              </w:rPr>
              <w:t>财务部</w:t>
            </w:r>
          </w:p>
        </w:tc>
        <w:tc>
          <w:tcPr>
            <w:tcW w:type="dxa" w:w="1728"/>
          </w:tcPr>
          <w:p>
            <w:r>
              <w:rPr>
                <w:b w:val="0"/>
                <w:sz w:val="18"/>
              </w:rPr>
              <w:t>张××</w:t>
            </w:r>
          </w:p>
        </w:tc>
      </w:tr>
      <w:tr>
        <w:tc>
          <w:tcPr>
            <w:tcW w:type="dxa" w:w="1728"/>
          </w:tcPr>
          <w:p>
            <w:r>
              <w:rPr>
                <w:b w:val="0"/>
                <w:sz w:val="18"/>
              </w:rPr>
              <w:t>v2.4</w:t>
            </w:r>
          </w:p>
        </w:tc>
        <w:tc>
          <w:tcPr>
            <w:tcW w:type="dxa" w:w="1728"/>
          </w:tcPr>
          <w:p>
            <w:r>
              <w:rPr>
                <w:b w:val="0"/>
                <w:sz w:val="18"/>
              </w:rPr>
              <w:t>2026-02-01</w:t>
            </w:r>
          </w:p>
        </w:tc>
        <w:tc>
          <w:tcPr>
            <w:tcW w:type="dxa" w:w="1728"/>
          </w:tcPr>
          <w:p>
            <w:r>
              <w:rPr>
                <w:b w:val="0"/>
                <w:sz w:val="18"/>
              </w:rPr>
              <w:t>按公司统一文档模板重构章节编号与文档控制项；修订 3.2 节</w:t>
            </w:r>
          </w:p>
        </w:tc>
        <w:tc>
          <w:tcPr>
            <w:tcW w:type="dxa" w:w="1728"/>
          </w:tcPr>
          <w:p>
            <w:r>
              <w:rPr>
                <w:b w:val="0"/>
                <w:sz w:val="18"/>
              </w:rPr>
              <w:t>财务部</w:t>
            </w:r>
          </w:p>
        </w:tc>
        <w:tc>
          <w:tcPr>
            <w:tcW w:type="dxa" w:w="1728"/>
          </w:tcPr>
          <w:p>
            <w:r>
              <w:rPr>
                <w:b w:val="0"/>
                <w:sz w:val="18"/>
              </w:rPr>
              <w:t>张××</w:t>
            </w:r>
          </w:p>
        </w:tc>
      </w:tr>
    </w:tbl>
    <w:p>
      <w:pPr>
        <w:pStyle w:val="Heading2"/>
      </w:pPr>
      <w:r>
        <w:t>第一章 总则</w:t>
      </w:r>
    </w:p>
    <w:p>
      <w:pPr>
        <w:pStyle w:val="Heading3"/>
      </w:pPr>
      <w:r>
        <w:t>1.1 目的</w:t>
      </w:r>
    </w:p>
    <w:p>
      <w:r>
        <w:t>统一公司各项费用的报销口径与审批权限，明确差旅、招待、采购、借款各环节的执行标准，减少因标准不清导致的反复退单与审批等待。</w:t>
      </w:r>
    </w:p>
    <w:p>
      <w:pPr>
        <w:pStyle w:val="Heading3"/>
      </w:pPr>
      <w:r>
        <w:t>1.2 适用范围</w:t>
      </w:r>
    </w:p>
    <w:p>
      <w:r>
        <w:t>本办法适用于公司及各关联公司的全体员工。海外子公司以当地货币发生的费用，按报销当月第一个工作日中国外汇交易中心公布的人民币汇率中间价折算入账。B 端业务产生的客户招待费同样适用本办法。</w:t>
      </w:r>
    </w:p>
    <w:p>
      <w:pPr>
        <w:pStyle w:val="Heading3"/>
      </w:pPr>
      <w:r>
        <w:t>1.3 基本原则</w:t>
      </w:r>
    </w:p>
    <w:p>
      <w:r>
        <w:t>- 真实性：所有报销须以真实发生的业务为基础，不得虚构、拼凑、重复报销。</w:t>
      </w:r>
    </w:p>
    <w:p>
      <w:r>
        <w:t>- 相关性：费用须与公司经营活动直接相关，与业务无关的个人消费不予报销。</w:t>
      </w:r>
    </w:p>
    <w:p>
      <w:r>
        <w:t>- 凭证合规：以取得合法有效票据为前提，白条、收据、非税务监制票据不予受理。</w:t>
      </w:r>
    </w:p>
    <w:p>
      <w:r>
        <w:t>- 预算控制：超预算费用须事前追加预算审批，不得事后补签。</w:t>
      </w:r>
    </w:p>
    <w:p>
      <w:pPr>
        <w:pStyle w:val="Heading2"/>
      </w:pPr>
      <w:r>
        <w:t>第二章 报销通用规则</w:t>
      </w:r>
    </w:p>
    <w:p>
      <w:pPr>
        <w:pStyle w:val="Heading3"/>
      </w:pPr>
      <w:r>
        <w:t>2.1 报销时效</w:t>
      </w:r>
    </w:p>
    <w:p>
      <w:r>
        <w:t>1. 费用发生后须在 30 个自然日内提交报销申请，逾期系统自动锁定。</w:t>
      </w:r>
    </w:p>
    <w:p>
      <w:r>
        <w:t>2. 跨年费用须在当年 12 月 20 日前提交完毕，12 月 21 日至 31 日发生的费用最迟于次年 1 月 10 日前提交。</w:t>
      </w:r>
    </w:p>
    <w:p>
      <w:r>
        <w:t>3. 因公长期驻外人员可每月集中报销一次，不受 30 日限制，但结算周期最长不超过 60 天。</w:t>
      </w:r>
    </w:p>
    <w:p>
      <w:r>
        <w:t>4. 逾期未报销且未申请特批的，视为员工自愿放弃，公司不再受理。</w:t>
      </w:r>
    </w:p>
    <w:p>
      <w:pPr>
        <w:pStyle w:val="Heading3"/>
      </w:pPr>
      <w:r>
        <w:t>2.2 审批权限</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单笔金额（人民币）</w:t>
            </w:r>
          </w:p>
        </w:tc>
        <w:tc>
          <w:tcPr>
            <w:tcW w:type="dxa" w:w="4320"/>
          </w:tcPr>
          <w:p>
            <w:r>
              <w:rPr>
                <w:b/>
                <w:sz w:val="18"/>
              </w:rPr>
              <w:t>审批路径</w:t>
            </w:r>
          </w:p>
        </w:tc>
      </w:tr>
      <w:tr>
        <w:tc>
          <w:tcPr>
            <w:tcW w:type="dxa" w:w="4320"/>
          </w:tcPr>
          <w:p>
            <w:r>
              <w:rPr>
                <w:b w:val="0"/>
                <w:sz w:val="18"/>
              </w:rPr>
              <w:t>500 元以下</w:t>
            </w:r>
          </w:p>
        </w:tc>
        <w:tc>
          <w:tcPr>
            <w:tcW w:type="dxa" w:w="4320"/>
          </w:tcPr>
          <w:p>
            <w:r>
              <w:rPr>
                <w:b w:val="0"/>
                <w:sz w:val="18"/>
              </w:rPr>
              <w:t>直属主管</w:t>
            </w:r>
          </w:p>
        </w:tc>
      </w:tr>
      <w:tr>
        <w:tc>
          <w:tcPr>
            <w:tcW w:type="dxa" w:w="4320"/>
          </w:tcPr>
          <w:p>
            <w:r>
              <w:rPr>
                <w:b w:val="0"/>
                <w:sz w:val="18"/>
              </w:rPr>
              <w:t>500 元（含）至 5000 元</w:t>
            </w:r>
          </w:p>
        </w:tc>
        <w:tc>
          <w:tcPr>
            <w:tcW w:type="dxa" w:w="4320"/>
          </w:tcPr>
          <w:p>
            <w:r>
              <w:rPr>
                <w:b w:val="0"/>
                <w:sz w:val="18"/>
              </w:rPr>
              <w:t>直属主管、部门负责人</w:t>
            </w:r>
          </w:p>
        </w:tc>
      </w:tr>
      <w:tr>
        <w:tc>
          <w:tcPr>
            <w:tcW w:type="dxa" w:w="4320"/>
          </w:tcPr>
          <w:p>
            <w:r>
              <w:rPr>
                <w:b w:val="0"/>
                <w:sz w:val="18"/>
              </w:rPr>
              <w:t>5000 元（含）至 20000 元</w:t>
            </w:r>
          </w:p>
        </w:tc>
        <w:tc>
          <w:tcPr>
            <w:tcW w:type="dxa" w:w="4320"/>
          </w:tcPr>
          <w:p>
            <w:r>
              <w:rPr>
                <w:b w:val="0"/>
                <w:sz w:val="18"/>
              </w:rPr>
              <w:t>直属主管、部门负责人、财务总监</w:t>
            </w:r>
          </w:p>
        </w:tc>
      </w:tr>
      <w:tr>
        <w:tc>
          <w:tcPr>
            <w:tcW w:type="dxa" w:w="4320"/>
          </w:tcPr>
          <w:p>
            <w:r>
              <w:rPr>
                <w:b w:val="0"/>
                <w:sz w:val="18"/>
              </w:rPr>
              <w:t>20000 元（含）以上</w:t>
            </w:r>
          </w:p>
        </w:tc>
        <w:tc>
          <w:tcPr>
            <w:tcW w:type="dxa" w:w="4320"/>
          </w:tcPr>
          <w:p>
            <w:r>
              <w:rPr>
                <w:b w:val="0"/>
                <w:sz w:val="18"/>
              </w:rPr>
              <w:t>直属主管、部门负责人、财务总监、总经理</w:t>
            </w:r>
          </w:p>
        </w:tc>
      </w:tr>
    </w:tbl>
    <w:p>
      <w:r>
        <w:t>审批人须在收到申请后 2 个工作日内完成审批，超时未审批且未说明原因的，系统自动提醒上一级审批人。</w:t>
      </w:r>
    </w:p>
    <w:p>
      <w:pPr>
        <w:pStyle w:val="Heading3"/>
      </w:pPr>
      <w:r>
        <w:t>2.3 发票要求</w:t>
      </w:r>
    </w:p>
    <w:p>
      <w:r>
        <w:t>1. 增值税专用发票须在开票之日起 360 天内认证抵扣，财务部不受理超过认证期限的专票。</w:t>
      </w:r>
    </w:p>
    <w:p>
      <w:r>
        <w:t>2. 发票抬头须为公司全称，纳税人识别号、开户行、账号信息须完整正确。</w:t>
      </w:r>
    </w:p>
    <w:p>
      <w:r>
        <w:t>3. 电子发票须提交原始 PDF 或 OFD 文件，截图、照片不予受理。</w:t>
      </w:r>
    </w:p>
    <w:p>
      <w:r>
        <w:t>4. 单张发票金额超过 1000 元的，须在发票背面或备注栏注明用途、对应项目或客户名称。</w:t>
      </w:r>
    </w:p>
    <w:p>
      <w:r>
        <w:t>5. 定额发票、手撕发票原则上不予受理，特殊情况须经财务总监特批。</w:t>
      </w:r>
    </w:p>
    <w:p>
      <w:pPr>
        <w:pStyle w:val="Heading3"/>
      </w:pPr>
      <w:r>
        <w:t>2.4 支付方式</w:t>
      </w:r>
    </w:p>
    <w:p>
      <w:r>
        <w:t>报销款统一通过银行转账支付至员工本人账户，不支付现金。报销单经财务部复核通过后，于次周周三集中付款，遇节假日顺延。</w:t>
      </w:r>
    </w:p>
    <w:p>
      <w:pPr>
        <w:pStyle w:val="Heading2"/>
      </w:pPr>
      <w:r>
        <w:t>第三章 差旅标准</w:t>
      </w:r>
    </w:p>
    <w:p>
      <w:pPr>
        <w:pStyle w:val="Heading3"/>
      </w:pPr>
      <w:r>
        <w:t>3.1 出差申请</w:t>
      </w:r>
    </w:p>
    <w:p>
      <w:r>
        <w:t>1. 出差须事前提交出差申请，注明目的地、事由、起止日期与预估费用，经直属主管与部门负责人批准后方可出行。</w:t>
      </w:r>
    </w:p>
    <w:p>
      <w:r>
        <w:t>2. 国内出差原则上提前 3 个工作日申请，出境出差提前 7 个工作日申请。</w:t>
      </w:r>
    </w:p>
    <w:p>
      <w:r>
        <w:t>3. 未事前申请而自行出差的，费用不予报销，特殊情况须在返回后 3 个工作日内补办手续并经总经理批准。</w:t>
      </w:r>
    </w:p>
    <w:p>
      <w:pPr>
        <w:pStyle w:val="Heading3"/>
      </w:pPr>
      <w:r>
        <w:t>3.2 交通标准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职级</w:t>
            </w:r>
          </w:p>
        </w:tc>
        <w:tc>
          <w:tcPr>
            <w:tcW w:type="dxa" w:w="2160"/>
          </w:tcPr>
          <w:p>
            <w:r>
              <w:rPr>
                <w:b/>
                <w:sz w:val="18"/>
              </w:rPr>
              <w:t>火车</w:t>
            </w:r>
          </w:p>
        </w:tc>
        <w:tc>
          <w:tcPr>
            <w:tcW w:type="dxa" w:w="2160"/>
          </w:tcPr>
          <w:p>
            <w:r>
              <w:rPr>
                <w:b/>
                <w:sz w:val="18"/>
              </w:rPr>
              <w:t>飞机</w:t>
            </w:r>
          </w:p>
        </w:tc>
        <w:tc>
          <w:tcPr>
            <w:tcW w:type="dxa" w:w="2160"/>
          </w:tcPr>
          <w:p>
            <w:r>
              <w:rPr>
                <w:b/>
                <w:sz w:val="18"/>
              </w:rPr>
              <w:t>市内交通</w:t>
            </w:r>
          </w:p>
        </w:tc>
      </w:tr>
      <w:tr>
        <w:tc>
          <w:tcPr>
            <w:tcW w:type="dxa" w:w="2160"/>
          </w:tcPr>
          <w:p>
            <w:r>
              <w:rPr>
                <w:b w:val="0"/>
                <w:sz w:val="18"/>
              </w:rPr>
              <w:t>总监及以上</w:t>
            </w:r>
          </w:p>
        </w:tc>
        <w:tc>
          <w:tcPr>
            <w:tcW w:type="dxa" w:w="2160"/>
          </w:tcPr>
          <w:p>
            <w:r>
              <w:rPr>
                <w:b w:val="0"/>
                <w:sz w:val="18"/>
              </w:rPr>
              <w:t>高铁商务座或一等座</w:t>
            </w:r>
          </w:p>
        </w:tc>
        <w:tc>
          <w:tcPr>
            <w:tcW w:type="dxa" w:w="2160"/>
          </w:tcPr>
          <w:p>
            <w:r>
              <w:rPr>
                <w:b w:val="0"/>
                <w:sz w:val="18"/>
              </w:rPr>
              <w:t>经济舱，航程 4 小时以上可商务舱</w:t>
            </w:r>
          </w:p>
        </w:tc>
        <w:tc>
          <w:tcPr>
            <w:tcW w:type="dxa" w:w="2160"/>
          </w:tcPr>
          <w:p>
            <w:r>
              <w:rPr>
                <w:b w:val="0"/>
                <w:sz w:val="18"/>
              </w:rPr>
              <w:t>据实报销</w:t>
            </w:r>
          </w:p>
        </w:tc>
      </w:tr>
      <w:tr>
        <w:tc>
          <w:tcPr>
            <w:tcW w:type="dxa" w:w="2160"/>
          </w:tcPr>
          <w:p>
            <w:r>
              <w:rPr>
                <w:b w:val="0"/>
                <w:sz w:val="18"/>
              </w:rPr>
              <w:t>经理级</w:t>
            </w:r>
          </w:p>
        </w:tc>
        <w:tc>
          <w:tcPr>
            <w:tcW w:type="dxa" w:w="2160"/>
          </w:tcPr>
          <w:p>
            <w:r>
              <w:rPr>
                <w:b w:val="0"/>
                <w:sz w:val="18"/>
              </w:rPr>
              <w:t>高铁一等座</w:t>
            </w:r>
          </w:p>
        </w:tc>
        <w:tc>
          <w:tcPr>
            <w:tcW w:type="dxa" w:w="2160"/>
          </w:tcPr>
          <w:p>
            <w:r>
              <w:rPr>
                <w:b w:val="0"/>
                <w:sz w:val="18"/>
              </w:rPr>
              <w:t>经济舱</w:t>
            </w:r>
          </w:p>
        </w:tc>
        <w:tc>
          <w:tcPr>
            <w:tcW w:type="dxa" w:w="2160"/>
          </w:tcPr>
          <w:p>
            <w:r>
              <w:rPr>
                <w:b w:val="0"/>
                <w:sz w:val="18"/>
              </w:rPr>
              <w:t>据实报销，单日不超过 150 元</w:t>
            </w:r>
          </w:p>
        </w:tc>
      </w:tr>
      <w:tr>
        <w:tc>
          <w:tcPr>
            <w:tcW w:type="dxa" w:w="2160"/>
          </w:tcPr>
          <w:p>
            <w:r>
              <w:rPr>
                <w:b w:val="0"/>
                <w:sz w:val="18"/>
              </w:rPr>
              <w:t>普通员工</w:t>
            </w:r>
          </w:p>
        </w:tc>
        <w:tc>
          <w:tcPr>
            <w:tcW w:type="dxa" w:w="2160"/>
          </w:tcPr>
          <w:p>
            <w:r>
              <w:rPr>
                <w:b w:val="0"/>
                <w:sz w:val="18"/>
              </w:rPr>
              <w:t>高铁二等座</w:t>
            </w:r>
          </w:p>
        </w:tc>
        <w:tc>
          <w:tcPr>
            <w:tcW w:type="dxa" w:w="2160"/>
          </w:tcPr>
          <w:p>
            <w:r>
              <w:rPr>
                <w:b w:val="0"/>
                <w:sz w:val="18"/>
              </w:rPr>
              <w:t>经济舱</w:t>
            </w:r>
          </w:p>
        </w:tc>
        <w:tc>
          <w:tcPr>
            <w:tcW w:type="dxa" w:w="2160"/>
          </w:tcPr>
          <w:p>
            <w:r>
              <w:rPr>
                <w:b w:val="0"/>
                <w:sz w:val="18"/>
              </w:rPr>
              <w:t>据实报销，单日不超过 100 元</w:t>
            </w:r>
          </w:p>
        </w:tc>
      </w:tr>
    </w:tbl>
    <w:p>
      <w:r>
        <w:t>- 机票须通过公司指定商旅平台预订，自行购票的须说明原因，差价不予报销。</w:t>
      </w:r>
    </w:p>
    <w:p>
      <w:r>
        <w:t>- 同城往返机场或车站的出租车、网约车费用据实报销。</w:t>
      </w:r>
    </w:p>
    <w:p>
      <w:r>
        <w:t>- 出差期间自驾的，按实际里程每公里 1.5 元补贴，不再报销油费与过路费。</w:t>
      </w:r>
    </w:p>
    <w:p>
      <w:pPr>
        <w:pStyle w:val="Heading3"/>
      </w:pPr>
      <w:r>
        <w:t>3.3 住宿标准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城市类别</w:t>
            </w:r>
          </w:p>
        </w:tc>
        <w:tc>
          <w:tcPr>
            <w:tcW w:type="dxa" w:w="2880"/>
          </w:tcPr>
          <w:p>
            <w:r>
              <w:rPr>
                <w:b/>
                <w:sz w:val="18"/>
              </w:rPr>
              <w:t>城市示例</w:t>
            </w:r>
          </w:p>
        </w:tc>
        <w:tc>
          <w:tcPr>
            <w:tcW w:type="dxa" w:w="2880"/>
          </w:tcPr>
          <w:p>
            <w:r>
              <w:rPr>
                <w:b/>
                <w:sz w:val="18"/>
              </w:rPr>
              <w:t>每晚上限（人民币）</w:t>
            </w:r>
          </w:p>
        </w:tc>
      </w:tr>
      <w:tr>
        <w:tc>
          <w:tcPr>
            <w:tcW w:type="dxa" w:w="2880"/>
          </w:tcPr>
          <w:p>
            <w:r>
              <w:rPr>
                <w:b w:val="0"/>
                <w:sz w:val="18"/>
              </w:rPr>
              <w:t>一线城市</w:t>
            </w:r>
          </w:p>
        </w:tc>
        <w:tc>
          <w:tcPr>
            <w:tcW w:type="dxa" w:w="2880"/>
          </w:tcPr>
          <w:p>
            <w:r>
              <w:rPr>
                <w:b w:val="0"/>
                <w:sz w:val="18"/>
              </w:rPr>
              <w:t>北京、上海、广州、深圳</w:t>
            </w:r>
          </w:p>
        </w:tc>
        <w:tc>
          <w:tcPr>
            <w:tcW w:type="dxa" w:w="2880"/>
          </w:tcPr>
          <w:p>
            <w:r>
              <w:rPr>
                <w:b w:val="0"/>
                <w:sz w:val="18"/>
              </w:rPr>
              <w:t>600 元</w:t>
            </w:r>
          </w:p>
        </w:tc>
      </w:tr>
      <w:tr>
        <w:tc>
          <w:tcPr>
            <w:tcW w:type="dxa" w:w="2880"/>
          </w:tcPr>
          <w:p>
            <w:r>
              <w:rPr>
                <w:b w:val="0"/>
                <w:sz w:val="18"/>
              </w:rPr>
              <w:t>新一线与二线城市</w:t>
            </w:r>
          </w:p>
        </w:tc>
        <w:tc>
          <w:tcPr>
            <w:tcW w:type="dxa" w:w="2880"/>
          </w:tcPr>
          <w:p>
            <w:r>
              <w:rPr>
                <w:b w:val="0"/>
                <w:sz w:val="18"/>
              </w:rPr>
              <w:t>杭州、成都、武汉、西安、南京</w:t>
            </w:r>
          </w:p>
        </w:tc>
        <w:tc>
          <w:tcPr>
            <w:tcW w:type="dxa" w:w="2880"/>
          </w:tcPr>
          <w:p>
            <w:r>
              <w:rPr>
                <w:b w:val="0"/>
                <w:sz w:val="18"/>
              </w:rPr>
              <w:t>450 元</w:t>
            </w:r>
          </w:p>
        </w:tc>
      </w:tr>
      <w:tr>
        <w:tc>
          <w:tcPr>
            <w:tcW w:type="dxa" w:w="2880"/>
          </w:tcPr>
          <w:p>
            <w:r>
              <w:rPr>
                <w:b w:val="0"/>
                <w:sz w:val="18"/>
              </w:rPr>
              <w:t>其他城市</w:t>
            </w:r>
          </w:p>
        </w:tc>
        <w:tc>
          <w:tcPr>
            <w:tcW w:type="dxa" w:w="2880"/>
          </w:tcPr>
          <w:p>
            <w:r>
              <w:rPr>
                <w:b w:val="0"/>
                <w:sz w:val="18"/>
              </w:rPr>
              <w:t>上述以外的地级市</w:t>
            </w:r>
          </w:p>
        </w:tc>
        <w:tc>
          <w:tcPr>
            <w:tcW w:type="dxa" w:w="2880"/>
          </w:tcPr>
          <w:p>
            <w:r>
              <w:rPr>
                <w:b w:val="0"/>
                <w:sz w:val="18"/>
              </w:rPr>
              <w:t>350 元</w:t>
            </w:r>
          </w:p>
        </w:tc>
      </w:tr>
      <w:tr>
        <w:tc>
          <w:tcPr>
            <w:tcW w:type="dxa" w:w="2880"/>
          </w:tcPr>
          <w:p>
            <w:r>
              <w:rPr>
                <w:b w:val="0"/>
                <w:sz w:val="18"/>
              </w:rPr>
              <w:t>中国香港、中国澳门</w:t>
            </w:r>
          </w:p>
        </w:tc>
        <w:tc>
          <w:tcPr>
            <w:tcW w:type="dxa" w:w="2880"/>
          </w:tcPr>
          <w:p>
            <w:r>
              <w:rPr>
                <w:b w:val="0"/>
                <w:sz w:val="18"/>
              </w:rPr>
              <w:t>香港、澳门</w:t>
            </w:r>
          </w:p>
        </w:tc>
        <w:tc>
          <w:tcPr>
            <w:tcW w:type="dxa" w:w="2880"/>
          </w:tcPr>
          <w:p>
            <w:r>
              <w:rPr>
                <w:b w:val="0"/>
                <w:sz w:val="18"/>
              </w:rPr>
              <w:t>1200 元</w:t>
            </w:r>
          </w:p>
        </w:tc>
      </w:tr>
      <w:tr>
        <w:tc>
          <w:tcPr>
            <w:tcW w:type="dxa" w:w="2880"/>
          </w:tcPr>
          <w:p>
            <w:r>
              <w:rPr>
                <w:b w:val="0"/>
                <w:sz w:val="18"/>
              </w:rPr>
              <w:t>亚洲其他地区</w:t>
            </w:r>
          </w:p>
        </w:tc>
        <w:tc>
          <w:tcPr>
            <w:tcW w:type="dxa" w:w="2880"/>
          </w:tcPr>
          <w:p>
            <w:r>
              <w:rPr>
                <w:b w:val="0"/>
                <w:sz w:val="18"/>
              </w:rPr>
              <w:t>东京、首尔、新加坡</w:t>
            </w:r>
          </w:p>
        </w:tc>
        <w:tc>
          <w:tcPr>
            <w:tcW w:type="dxa" w:w="2880"/>
          </w:tcPr>
          <w:p>
            <w:r>
              <w:rPr>
                <w:b w:val="0"/>
                <w:sz w:val="18"/>
              </w:rPr>
              <w:t>1000 元</w:t>
            </w:r>
          </w:p>
        </w:tc>
      </w:tr>
      <w:tr>
        <w:tc>
          <w:tcPr>
            <w:tcW w:type="dxa" w:w="2880"/>
          </w:tcPr>
          <w:p>
            <w:r>
              <w:rPr>
                <w:b w:val="0"/>
                <w:sz w:val="18"/>
              </w:rPr>
              <w:t>欧美地区</w:t>
            </w:r>
          </w:p>
        </w:tc>
        <w:tc>
          <w:tcPr>
            <w:tcW w:type="dxa" w:w="2880"/>
          </w:tcPr>
          <w:p>
            <w:r>
              <w:rPr>
                <w:b w:val="0"/>
                <w:sz w:val="18"/>
              </w:rPr>
              <w:t>纽约、伦敦、法兰克福</w:t>
            </w:r>
          </w:p>
        </w:tc>
        <w:tc>
          <w:tcPr>
            <w:tcW w:type="dxa" w:w="2880"/>
          </w:tcPr>
          <w:p>
            <w:r>
              <w:rPr>
                <w:b w:val="0"/>
                <w:sz w:val="18"/>
              </w:rPr>
              <w:t>1500 元</w:t>
            </w:r>
          </w:p>
        </w:tc>
      </w:tr>
    </w:tbl>
    <w:p>
      <w:r>
        <w:t>住宿费凭住宿业增值税发票报销，超出标准部分自理；因展会、旺季等特殊原因确需超标的，须事前经部门负责人批准。两名以上同性别员工同行出差的，原则上合住一间标准双床房。</w:t>
      </w:r>
    </w:p>
    <w:p>
      <w:pPr>
        <w:pStyle w:val="Heading3"/>
      </w:pPr>
      <w:r>
        <w:t>3.4 餐补与出差补贴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地区</w:t>
            </w:r>
          </w:p>
        </w:tc>
        <w:tc>
          <w:tcPr>
            <w:tcW w:type="dxa" w:w="2880"/>
          </w:tcPr>
          <w:p>
            <w:r>
              <w:rPr>
                <w:b/>
                <w:sz w:val="18"/>
              </w:rPr>
              <w:t>餐补（每人每日）</w:t>
            </w:r>
          </w:p>
        </w:tc>
        <w:tc>
          <w:tcPr>
            <w:tcW w:type="dxa" w:w="2880"/>
          </w:tcPr>
          <w:p>
            <w:r>
              <w:rPr>
                <w:b/>
                <w:sz w:val="18"/>
              </w:rPr>
              <w:t>出差补贴（每人每日）</w:t>
            </w:r>
          </w:p>
        </w:tc>
      </w:tr>
      <w:tr>
        <w:tc>
          <w:tcPr>
            <w:tcW w:type="dxa" w:w="2880"/>
          </w:tcPr>
          <w:p>
            <w:r>
              <w:rPr>
                <w:b w:val="0"/>
                <w:sz w:val="18"/>
              </w:rPr>
              <w:t>境内一线城市</w:t>
            </w:r>
          </w:p>
        </w:tc>
        <w:tc>
          <w:tcPr>
            <w:tcW w:type="dxa" w:w="2880"/>
          </w:tcPr>
          <w:p>
            <w:r>
              <w:rPr>
                <w:b w:val="0"/>
                <w:sz w:val="18"/>
              </w:rPr>
              <w:t>120 元</w:t>
            </w:r>
          </w:p>
        </w:tc>
        <w:tc>
          <w:tcPr>
            <w:tcW w:type="dxa" w:w="2880"/>
          </w:tcPr>
          <w:p>
            <w:r>
              <w:rPr>
                <w:b w:val="0"/>
                <w:sz w:val="18"/>
              </w:rPr>
              <w:t>80 元</w:t>
            </w:r>
          </w:p>
        </w:tc>
      </w:tr>
      <w:tr>
        <w:tc>
          <w:tcPr>
            <w:tcW w:type="dxa" w:w="2880"/>
          </w:tcPr>
          <w:p>
            <w:r>
              <w:rPr>
                <w:b w:val="0"/>
                <w:sz w:val="18"/>
              </w:rPr>
              <w:t>境内其他城市</w:t>
            </w:r>
          </w:p>
        </w:tc>
        <w:tc>
          <w:tcPr>
            <w:tcW w:type="dxa" w:w="2880"/>
          </w:tcPr>
          <w:p>
            <w:r>
              <w:rPr>
                <w:b w:val="0"/>
                <w:sz w:val="18"/>
              </w:rPr>
              <w:t>100 元</w:t>
            </w:r>
          </w:p>
        </w:tc>
        <w:tc>
          <w:tcPr>
            <w:tcW w:type="dxa" w:w="2880"/>
          </w:tcPr>
          <w:p>
            <w:r>
              <w:rPr>
                <w:b w:val="0"/>
                <w:sz w:val="18"/>
              </w:rPr>
              <w:t>60 元</w:t>
            </w:r>
          </w:p>
        </w:tc>
      </w:tr>
      <w:tr>
        <w:tc>
          <w:tcPr>
            <w:tcW w:type="dxa" w:w="2880"/>
          </w:tcPr>
          <w:p>
            <w:r>
              <w:rPr>
                <w:b w:val="0"/>
                <w:sz w:val="18"/>
              </w:rPr>
              <w:t>中国香港、中国澳门</w:t>
            </w:r>
          </w:p>
        </w:tc>
        <w:tc>
          <w:tcPr>
            <w:tcW w:type="dxa" w:w="2880"/>
          </w:tcPr>
          <w:p>
            <w:r>
              <w:rPr>
                <w:b w:val="0"/>
                <w:sz w:val="18"/>
              </w:rPr>
              <w:t>300 元</w:t>
            </w:r>
          </w:p>
        </w:tc>
        <w:tc>
          <w:tcPr>
            <w:tcW w:type="dxa" w:w="2880"/>
          </w:tcPr>
          <w:p>
            <w:r>
              <w:rPr>
                <w:b w:val="0"/>
                <w:sz w:val="18"/>
              </w:rPr>
              <w:t>200 元</w:t>
            </w:r>
          </w:p>
        </w:tc>
      </w:tr>
      <w:tr>
        <w:tc>
          <w:tcPr>
            <w:tcW w:type="dxa" w:w="2880"/>
          </w:tcPr>
          <w:p>
            <w:r>
              <w:rPr>
                <w:b w:val="0"/>
                <w:sz w:val="18"/>
              </w:rPr>
              <w:t>亚洲其他地区</w:t>
            </w:r>
          </w:p>
        </w:tc>
        <w:tc>
          <w:tcPr>
            <w:tcW w:type="dxa" w:w="2880"/>
          </w:tcPr>
          <w:p>
            <w:r>
              <w:rPr>
                <w:b w:val="0"/>
                <w:sz w:val="18"/>
              </w:rPr>
              <w:t>250 元</w:t>
            </w:r>
          </w:p>
        </w:tc>
        <w:tc>
          <w:tcPr>
            <w:tcW w:type="dxa" w:w="2880"/>
          </w:tcPr>
          <w:p>
            <w:r>
              <w:rPr>
                <w:b w:val="0"/>
                <w:sz w:val="18"/>
              </w:rPr>
              <w:t>150 元</w:t>
            </w:r>
          </w:p>
        </w:tc>
      </w:tr>
      <w:tr>
        <w:tc>
          <w:tcPr>
            <w:tcW w:type="dxa" w:w="2880"/>
          </w:tcPr>
          <w:p>
            <w:r>
              <w:rPr>
                <w:b w:val="0"/>
                <w:sz w:val="18"/>
              </w:rPr>
              <w:t>欧美地区</w:t>
            </w:r>
          </w:p>
        </w:tc>
        <w:tc>
          <w:tcPr>
            <w:tcW w:type="dxa" w:w="2880"/>
          </w:tcPr>
          <w:p>
            <w:r>
              <w:rPr>
                <w:b w:val="0"/>
                <w:sz w:val="18"/>
              </w:rPr>
              <w:t>400 元</w:t>
            </w:r>
          </w:p>
        </w:tc>
        <w:tc>
          <w:tcPr>
            <w:tcW w:type="dxa" w:w="2880"/>
          </w:tcPr>
          <w:p>
            <w:r>
              <w:rPr>
                <w:b w:val="0"/>
                <w:sz w:val="18"/>
              </w:rPr>
              <w:t>250 元</w:t>
            </w:r>
          </w:p>
        </w:tc>
      </w:tr>
    </w:tbl>
    <w:p>
      <w:r>
        <w:t>- 出差补贴用于补偿出差期间的通讯、洗衣等杂费，按实际出差天数计算，当日往返的按半天计。</w:t>
      </w:r>
    </w:p>
    <w:p>
      <w:r>
        <w:t>- 出差期间已由客户或公司统一安排餐饮的，当日餐补减半。</w:t>
      </w:r>
    </w:p>
    <w:p>
      <w:r>
        <w:t>- 出差期间用餐已取得发票的部分不重复发放餐补。</w:t>
      </w:r>
    </w:p>
    <w:p>
      <w:pPr>
        <w:pStyle w:val="Heading3"/>
      </w:pPr>
      <w:r>
        <w:t>3.5 出差天数计算</w:t>
      </w:r>
    </w:p>
    <w:p>
      <w:r>
        <w:t>出发日与返回日均计为出差日，出发时间以交通票据载明时间为准。当日 12:00 后出发的，出发日按半天计；当日 12:00 前返回的，返回日按半天计。</w:t>
      </w:r>
    </w:p>
    <w:p>
      <w:pPr>
        <w:pStyle w:val="Heading2"/>
      </w:pPr>
      <w:r>
        <w:t>第四章 招待费</w:t>
      </w:r>
    </w:p>
    <w:p>
      <w:pPr>
        <w:pStyle w:val="Heading3"/>
      </w:pPr>
      <w:r>
        <w:t>4.1 招待标准</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场合</w:t>
            </w:r>
          </w:p>
        </w:tc>
        <w:tc>
          <w:tcPr>
            <w:tcW w:type="dxa" w:w="4320"/>
          </w:tcPr>
          <w:p>
            <w:r>
              <w:rPr>
                <w:b/>
                <w:sz w:val="18"/>
              </w:rPr>
              <w:t>每人每次上限</w:t>
            </w:r>
          </w:p>
        </w:tc>
      </w:tr>
      <w:tr>
        <w:tc>
          <w:tcPr>
            <w:tcW w:type="dxa" w:w="4320"/>
          </w:tcPr>
          <w:p>
            <w:r>
              <w:rPr>
                <w:b w:val="0"/>
                <w:sz w:val="18"/>
              </w:rPr>
              <w:t>一般商务接待</w:t>
            </w:r>
          </w:p>
        </w:tc>
        <w:tc>
          <w:tcPr>
            <w:tcW w:type="dxa" w:w="4320"/>
          </w:tcPr>
          <w:p>
            <w:r>
              <w:rPr>
                <w:b w:val="0"/>
                <w:sz w:val="18"/>
              </w:rPr>
              <w:t>200 元</w:t>
            </w:r>
          </w:p>
        </w:tc>
      </w:tr>
      <w:tr>
        <w:tc>
          <w:tcPr>
            <w:tcW w:type="dxa" w:w="4320"/>
          </w:tcPr>
          <w:p>
            <w:r>
              <w:rPr>
                <w:b w:val="0"/>
                <w:sz w:val="18"/>
              </w:rPr>
              <w:t>重要客户或供应商洽谈</w:t>
            </w:r>
          </w:p>
        </w:tc>
        <w:tc>
          <w:tcPr>
            <w:tcW w:type="dxa" w:w="4320"/>
          </w:tcPr>
          <w:p>
            <w:r>
              <w:rPr>
                <w:b w:val="0"/>
                <w:sz w:val="18"/>
              </w:rPr>
              <w:t>400 元</w:t>
            </w:r>
          </w:p>
        </w:tc>
      </w:tr>
      <w:tr>
        <w:tc>
          <w:tcPr>
            <w:tcW w:type="dxa" w:w="4320"/>
          </w:tcPr>
          <w:p>
            <w:r>
              <w:rPr>
                <w:b w:val="0"/>
                <w:sz w:val="18"/>
              </w:rPr>
              <w:t>重大合作签约或年度答谢</w:t>
            </w:r>
          </w:p>
        </w:tc>
        <w:tc>
          <w:tcPr>
            <w:tcW w:type="dxa" w:w="4320"/>
          </w:tcPr>
          <w:p>
            <w:r>
              <w:rPr>
                <w:b w:val="0"/>
                <w:sz w:val="18"/>
              </w:rPr>
              <w:t>800 元</w:t>
            </w:r>
          </w:p>
        </w:tc>
      </w:tr>
    </w:tbl>
    <w:p>
      <w:pPr>
        <w:pStyle w:val="Heading3"/>
      </w:pPr>
      <w:r>
        <w:t>4.2 招待费要求</w:t>
      </w:r>
    </w:p>
    <w:p>
      <w:r>
        <w:t>1. 招待费须事前申请，注明招待对象、单位、人数与事由，经部门负责人批准。</w:t>
      </w:r>
    </w:p>
    <w:p>
      <w:r>
        <w:t>2. 报销时须附菜单或消费明细、正式发票，并在报销单上列明参加人员名单。</w:t>
      </w:r>
    </w:p>
    <w:p>
      <w:r>
        <w:t>3. 单次招待费超过 5000 元的，须经总经理批准。</w:t>
      </w:r>
    </w:p>
    <w:p>
      <w:r>
        <w:t>4. 招待本公司员工不属于招待费范围，不得以招待费名义报销内部聚餐。</w:t>
      </w:r>
    </w:p>
    <w:p>
      <w:r>
        <w:t>5. 严禁借招待名义报销娱乐场所消费、旅游消费、礼品卡与购物卡。</w:t>
      </w:r>
    </w:p>
    <w:p>
      <w:pPr>
        <w:pStyle w:val="Heading2"/>
      </w:pPr>
      <w:r>
        <w:t>第五章 采购与付款</w:t>
      </w:r>
    </w:p>
    <w:p>
      <w:pPr>
        <w:pStyle w:val="Heading3"/>
      </w:pPr>
      <w:r>
        <w:t>5.1 小额采购</w:t>
      </w:r>
    </w:p>
    <w:p>
      <w:r>
        <w:t>单笔金额在 2000 元以下的办公用品、耗材、低值易耗品，员工可先行垫付后报销，须提供购货清单与发票。</w:t>
      </w:r>
    </w:p>
    <w:p>
      <w:pPr>
        <w:pStyle w:val="Heading3"/>
      </w:pPr>
      <w:r>
        <w:t>5.2 供应商付款</w:t>
      </w:r>
    </w:p>
    <w:p>
      <w:r>
        <w:t>1. 单笔金额 5000 元以上的采购须签订书面合同或订单，按合同约定的账期付款。</w:t>
      </w:r>
    </w:p>
    <w:p>
      <w:r>
        <w:t>2. 付款申请须附合同、验收单、发票三份材料，缺一不可。</w:t>
      </w:r>
    </w:p>
    <w:p>
      <w:r>
        <w:t>3. 预付款比例原则上不超过合同总额的 30%，尾款须在验收合格后支付。</w:t>
      </w:r>
    </w:p>
    <w:p>
      <w:r>
        <w:t>4. 供应商银行账户信息变更的，须取得加盖公章的书面变更通知并电话回访确认，防止诈骗。</w:t>
      </w:r>
    </w:p>
    <w:p>
      <w:pPr>
        <w:pStyle w:val="Heading3"/>
      </w:pPr>
      <w:r>
        <w:t>5.3 固定资产</w:t>
      </w:r>
    </w:p>
    <w:p>
      <w:r>
        <w:t>单价超过 2000 元、使用年限超过 1 年的物品按固定资产管理，须在资产系统中登记编号并粘贴资产标签。员工离职或调岗时须清点归还。</w:t>
      </w:r>
    </w:p>
    <w:p>
      <w:pPr>
        <w:pStyle w:val="Heading2"/>
      </w:pPr>
      <w:r>
        <w:t>第六章 借款与冲销</w:t>
      </w:r>
    </w:p>
    <w:p>
      <w:pPr>
        <w:pStyle w:val="Heading3"/>
      </w:pPr>
      <w:r>
        <w:t>6.1 借款</w:t>
      </w:r>
    </w:p>
    <w:p>
      <w:r>
        <w:t>1. 因公需要预先借款的，须填写借款单并注明用途与预计归还日期。</w:t>
      </w:r>
    </w:p>
    <w:p>
      <w:r>
        <w:t>2. 借款金额在 5000 元以下的由部门负责人批准，5000 元以上的须经财务总监批准。</w:t>
      </w:r>
    </w:p>
    <w:p>
      <w:r>
        <w:t>3. 借款人须在出差或事项结束后 10 个工作日内完成冲销，冲销时附全部原始票据。</w:t>
      </w:r>
    </w:p>
    <w:p>
      <w:r>
        <w:t>4. 前次借款未冲销的，不得再次借款。</w:t>
      </w:r>
    </w:p>
    <w:p>
      <w:pPr>
        <w:pStyle w:val="Heading3"/>
      </w:pPr>
      <w:r>
        <w:t>6.2 冲销与结余</w:t>
      </w:r>
    </w:p>
    <w:p>
      <w:r>
        <w:t>- 实际支出小于借款金额的，结余部分须在冲销当日在系统中确认退款，通过银行转账退回公司账户。</w:t>
      </w:r>
    </w:p>
    <w:p>
      <w:r>
        <w:t>- 实际支出大于借款金额的，差额部分按正常报销流程支付。</w:t>
      </w:r>
    </w:p>
    <w:p>
      <w:r>
        <w:t>- 借款超过 30 天未冲销的，财务部可从借款人当月工资中扣回，并在当月工资条中标注。</w:t>
      </w:r>
    </w:p>
    <w:p>
      <w:pPr>
        <w:pStyle w:val="Heading2"/>
      </w:pPr>
      <w:r>
        <w:t>第七章 违规处理</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违规情形</w:t>
            </w:r>
          </w:p>
        </w:tc>
        <w:tc>
          <w:tcPr>
            <w:tcW w:type="dxa" w:w="4320"/>
          </w:tcPr>
          <w:p>
            <w:r>
              <w:rPr>
                <w:b/>
                <w:sz w:val="18"/>
              </w:rPr>
              <w:t>处理措施</w:t>
            </w:r>
          </w:p>
        </w:tc>
      </w:tr>
      <w:tr>
        <w:tc>
          <w:tcPr>
            <w:tcW w:type="dxa" w:w="4320"/>
          </w:tcPr>
          <w:p>
            <w:r>
              <w:rPr>
                <w:b w:val="0"/>
                <w:sz w:val="18"/>
              </w:rPr>
              <w:t>票据不合规（白条、假票、非税务监制票据）</w:t>
            </w:r>
          </w:p>
        </w:tc>
        <w:tc>
          <w:tcPr>
            <w:tcW w:type="dxa" w:w="4320"/>
          </w:tcPr>
          <w:p>
            <w:r>
              <w:rPr>
                <w:b w:val="0"/>
                <w:sz w:val="18"/>
              </w:rPr>
              <w:t>退回重报，不予受理</w:t>
            </w:r>
          </w:p>
        </w:tc>
      </w:tr>
      <w:tr>
        <w:tc>
          <w:tcPr>
            <w:tcW w:type="dxa" w:w="4320"/>
          </w:tcPr>
          <w:p>
            <w:r>
              <w:rPr>
                <w:b w:val="0"/>
                <w:sz w:val="18"/>
              </w:rPr>
              <w:t>虚假报销、虚构业务</w:t>
            </w:r>
          </w:p>
        </w:tc>
        <w:tc>
          <w:tcPr>
            <w:tcW w:type="dxa" w:w="4320"/>
          </w:tcPr>
          <w:p>
            <w:r>
              <w:rPr>
                <w:b w:val="0"/>
                <w:sz w:val="18"/>
              </w:rPr>
              <w:t>追回款项，按公司纪律处分处理；情节严重的解除劳动合同并追究法律责任</w:t>
            </w:r>
          </w:p>
        </w:tc>
      </w:tr>
      <w:tr>
        <w:tc>
          <w:tcPr>
            <w:tcW w:type="dxa" w:w="4320"/>
          </w:tcPr>
          <w:p>
            <w:r>
              <w:rPr>
                <w:b w:val="0"/>
                <w:sz w:val="18"/>
              </w:rPr>
              <w:t>拆分单据规避审批权限</w:t>
            </w:r>
          </w:p>
        </w:tc>
        <w:tc>
          <w:tcPr>
            <w:tcW w:type="dxa" w:w="4320"/>
          </w:tcPr>
          <w:p>
            <w:r>
              <w:rPr>
                <w:b w:val="0"/>
                <w:sz w:val="18"/>
              </w:rPr>
              <w:t>追回款项，通报批评，取消当年评优资格</w:t>
            </w:r>
          </w:p>
        </w:tc>
      </w:tr>
      <w:tr>
        <w:tc>
          <w:tcPr>
            <w:tcW w:type="dxa" w:w="4320"/>
          </w:tcPr>
          <w:p>
            <w:r>
              <w:rPr>
                <w:b w:val="0"/>
                <w:sz w:val="18"/>
              </w:rPr>
              <w:t>逾期报销</w:t>
            </w:r>
          </w:p>
        </w:tc>
        <w:tc>
          <w:tcPr>
            <w:tcW w:type="dxa" w:w="4320"/>
          </w:tcPr>
          <w:p>
            <w:r>
              <w:rPr>
                <w:b w:val="0"/>
                <w:sz w:val="18"/>
              </w:rPr>
              <w:t>不予受理，视为自愿放弃</w:t>
            </w:r>
          </w:p>
        </w:tc>
      </w:tr>
      <w:tr>
        <w:tc>
          <w:tcPr>
            <w:tcW w:type="dxa" w:w="4320"/>
          </w:tcPr>
          <w:p>
            <w:r>
              <w:rPr>
                <w:b w:val="0"/>
                <w:sz w:val="18"/>
              </w:rPr>
              <w:t>重复报销</w:t>
            </w:r>
          </w:p>
        </w:tc>
        <w:tc>
          <w:tcPr>
            <w:tcW w:type="dxa" w:w="4320"/>
          </w:tcPr>
          <w:p>
            <w:r>
              <w:rPr>
                <w:b w:val="0"/>
                <w:sz w:val="18"/>
              </w:rPr>
              <w:t>追回款项，按虚假报销处理</w:t>
            </w:r>
          </w:p>
        </w:tc>
      </w:tr>
    </w:tbl>
    <w:p>
      <w:r>
        <w:t>财务部每季度抽查不少于 10% 的报销单，抽查结果纳入部门费用合规评级。</w:t>
      </w:r>
    </w:p>
    <w:p>
      <w:pPr>
        <w:pStyle w:val="Heading2"/>
      </w:pPr>
      <w:r>
        <w:t>第八章 附则</w:t>
      </w:r>
    </w:p>
    <w:p>
      <w:r>
        <w:t>- 本办法由财务部负责解释。</w:t>
      </w:r>
    </w:p>
    <w:p>
      <w:r>
        <w:t>- 本办法每半年复审一次，由财务部发起，修订后通过企业微信推送至全体员工。</w:t>
      </w:r>
    </w:p>
    <w:p>
      <w:r>
        <w:t>- 本办法与税务法规冲突时，以法规为准。</w:t>
      </w:r>
    </w:p>
    <w:p>
      <w:r>
        <w:t>- 自本版本生效之日起，v2.3 版同时废止。</w:t>
      </w:r>
    </w:p>
    <w:p>
      <w:r>
        <w:t>- 关联文件：《预算管理制度》《采购管理制度》《固定资产管理制度》《全球优选 · 员工手册》《差旅安全须知》。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