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全球优选 · 供应商管理制度</w:t>
      </w:r>
    </w:p>
    <w:p/>
    <w:p>
      <w:pPr>
        <w:ind w:left="567"/>
      </w:pPr>
      <w:r>
        <w:rPr>
          <w:i/>
          <w:color w:val="646464"/>
        </w:rPr>
        <w:t>文件编号: SOP-SUP-2026-001 | 生效日期: 2026-01-01 | 版本: v2.1</w:t>
      </w:r>
    </w:p>
    <w:p>
      <w:pPr>
        <w:ind w:left="567"/>
      </w:pPr>
      <w:r>
        <w:rPr>
          <w:i/>
          <w:color w:val="646464"/>
        </w:rPr>
        <w:t>制定: 供应链管理部 | 批准: 张总经理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第一章 总则</w:t>
      </w:r>
    </w:p>
    <w:p/>
    <w:p>
      <w:r>
        <w:t>1.1 目的</w:t>
      </w:r>
    </w:p>
    <w:p/>
    <w:p>
      <w:r>
        <w:t>规范供应商准入、考核、淘汰全流程，确保供应链质量稳定、成本可控、交付准时。</w:t>
      </w:r>
    </w:p>
    <w:p/>
    <w:p>
      <w:r>
        <w:t>1.2 适用范围</w:t>
      </w:r>
    </w:p>
    <w:p/>
    <w:p>
      <w:r>
        <w:t>本制度适用于 GLOBEST 品牌旗下所有原材料供应商、OEM/ODM 代工厂、包材辅料供应商。物流服务商另行适用《物流服务商管理办法》。</w:t>
      </w:r>
    </w:p>
    <w:p/>
    <w:p>
      <w:r>
        <w:t>1.3 核心原则</w:t>
      </w:r>
    </w:p>
    <w:p/>
    <w:p>
      <w:r>
        <w:t>- 质量优先: 质量评分占供应商总评分 50%，一票否决制适用于安全类问题</w:t>
      </w:r>
    </w:p>
    <w:p>
      <w:r>
        <w:t>- 阳光采购: 所有供应商须签署《反商业贿赂承诺书》，采购人员不得接受供应商任何形式的馈赠</w:t>
      </w:r>
    </w:p>
    <w:p>
      <w:r>
        <w:t>- 长期合作: 年度评分前 20% 供应商享受"优先排单+结算优惠"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第二章 供应商准入</w:t>
      </w:r>
    </w:p>
    <w:p/>
    <w:p>
      <w:pPr>
        <w:pStyle w:val="Heading3"/>
      </w:pPr>
      <w:r>
        <w:rPr>
          <w:b/>
          <w:sz w:val="26"/>
        </w:rPr>
        <w:t>2.1 基本资质门槛</w:t>
      </w:r>
    </w:p>
    <w:p/>
    <w:p>
      <w:r>
        <w:t>资质项  |  要求</w:t>
      </w:r>
    </w:p>
    <w:p>
      <w:r>
        <w:t>营业执照  |  注册资金 ≥100 万人民币，经营范围涵盖供货品类</w:t>
      </w:r>
    </w:p>
    <w:p>
      <w:r>
        <w:t>生产许可  |  涉及食品接触材料须提供《全国工业产品生产许可证》</w:t>
      </w:r>
    </w:p>
    <w:p>
      <w:r>
        <w:t>体系认证  |  ISO 9001 为硬性要求，皮具类须有 Leather Working Group 认证或等效力</w:t>
      </w:r>
    </w:p>
    <w:p>
      <w:r>
        <w:t>环保合规  |  排污许可证或环保备案回执，不得在环保黑名单内</w:t>
      </w:r>
    </w:p>
    <w:p>
      <w:r>
        <w:t>出口资质  |  能开具增值税专用发票，具备出口退税备案</w:t>
      </w:r>
    </w:p>
    <w:p>
      <w:r>
        <w:t>社会责任  |  通过 SMETA/BSCI/SA8000 之一的社会责任审核</w:t>
      </w:r>
    </w:p>
    <w:p/>
    <w:p>
      <w:pPr>
        <w:pStyle w:val="Heading3"/>
      </w:pPr>
      <w:r>
        <w:rPr>
          <w:b/>
          <w:sz w:val="26"/>
        </w:rPr>
        <w:t>2.2 准入评审流程</w:t>
      </w:r>
    </w:p>
    <w:p/>
    <w:p>
      <w:r>
        <w:t>1. 资质初审（采购部，3 个工作日）— 核对资质文件完整性</w:t>
      </w:r>
    </w:p>
    <w:p>
      <w:r>
        <w:t>2. 现场验厂（品控+采购联合，5 个工作日）— 按《供应商验厂检查表》逐项打分，低于 70 分直接淘汰</w:t>
      </w:r>
    </w:p>
    <w:p>
      <w:r>
        <w:t>3. 打样确认（品控+设计，7 个工作日）— 三次打样机会；三次均不合格则淘汰</w:t>
      </w:r>
    </w:p>
    <w:p>
      <w:r>
        <w:t>4. 小批量试产（300-500 件，14 个工作日）— 检验批次合格率须 ≥98%</w:t>
      </w:r>
    </w:p>
    <w:p>
      <w:r>
        <w:t>5. 纳入合格供应商名录 — 系统录入，分配供应商编码</w:t>
      </w:r>
    </w:p>
    <w:p/>
    <w:p>
      <w:pPr>
        <w:pStyle w:val="Heading3"/>
      </w:pPr>
      <w:r>
        <w:rPr>
          <w:b/>
          <w:sz w:val="26"/>
        </w:rPr>
        <w:t>2.3 供应商编码规则</w:t>
      </w:r>
    </w:p>
    <w:p/>
    <w:p>
      <w:r>
        <w:t>```</w:t>
      </w:r>
    </w:p>
    <w:p>
      <w:r>
        <w:t>SUP-{品类}-{年份}-{序号}</w:t>
      </w:r>
    </w:p>
    <w:p>
      <w:r>
        <w:t>品类: LTH(皮具), BTL(杯具), HAT(帽饰), PKG(包材)</w:t>
      </w:r>
    </w:p>
    <w:p>
      <w:r>
        <w:t>示例: SUP-LTH-2026-003 → 2026年第3家皮具供应商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第三章 绩效考核</w:t>
      </w:r>
    </w:p>
    <w:p/>
    <w:p>
      <w:pPr>
        <w:pStyle w:val="Heading3"/>
      </w:pPr>
      <w:r>
        <w:rPr>
          <w:b/>
          <w:sz w:val="26"/>
        </w:rPr>
        <w:t>3.1 考核维度与权重</w:t>
      </w:r>
    </w:p>
    <w:p/>
    <w:p>
      <w:r>
        <w:t>维度  |  权重  |  考核指标</w:t>
      </w:r>
    </w:p>
    <w:p>
      <w:r>
        <w:t>质量 Q  |  50%  |  批次合格率、客户投诉率、客诉关闭时效</w:t>
      </w:r>
    </w:p>
    <w:p>
      <w:r>
        <w:t>交付 D  |  25%  |  准时交付率、紧急订单响应速度</w:t>
      </w:r>
    </w:p>
    <w:p>
      <w:r>
        <w:t>成本 C  |  15%  |  报价竞争力、降价配合度</w:t>
      </w:r>
    </w:p>
    <w:p>
      <w:r>
        <w:t>配合 S  |  10%  |  问题改善时效、新品开发响应</w:t>
      </w:r>
    </w:p>
    <w:p/>
    <w:p>
      <w:pPr>
        <w:pStyle w:val="Heading3"/>
      </w:pPr>
      <w:r>
        <w:rPr>
          <w:b/>
          <w:sz w:val="26"/>
        </w:rPr>
        <w:t>3.2 评分等级与处理</w:t>
      </w:r>
    </w:p>
    <w:p/>
    <w:p>
      <w:r>
        <w:t>等级  |  分数  |  处理措施</w:t>
      </w:r>
    </w:p>
    <w:p>
      <w:r>
        <w:t>A 级（优秀）  |  ≥90  |  优先排单，账期缩短至 T+15</w:t>
      </w:r>
    </w:p>
    <w:p>
      <w:r>
        <w:t>B 级（良好）  |  75-89  |  正常合作，T+30 账期</w:t>
      </w:r>
    </w:p>
    <w:p>
      <w:r>
        <w:t>C 级（待改进）  |  60-74  |  减单 30%，限期 60 天改善；连续两季度 C 级降为 D 级</w:t>
      </w:r>
    </w:p>
    <w:p>
      <w:r>
        <w:t>D 级（淘汰）  |  &lt;60  |  立即停止新单，3 个月内完成库存清理后移出合格名录</w:t>
      </w:r>
    </w:p>
    <w:p/>
    <w:p>
      <w:pPr>
        <w:pStyle w:val="Heading3"/>
      </w:pPr>
      <w:r>
        <w:rPr>
          <w:b/>
          <w:sz w:val="26"/>
        </w:rPr>
        <w:t>3.3 一票否决项</w:t>
      </w:r>
    </w:p>
    <w:p/>
    <w:p>
      <w:r>
        <w:t>以下情况发生，直接终止合作且不予结算在途货款：</w:t>
      </w:r>
    </w:p>
    <w:p/>
    <w:p>
      <w:r>
        <w:t>1. 恶意偷工减料: 材质与合同约定不符（如合同要求头层牛皮，实际使用二层或人造革）</w:t>
      </w:r>
    </w:p>
    <w:p>
      <w:r>
        <w:t>2. 擅自转包: 未经书面同意将订单转包第三方生产</w:t>
      </w:r>
    </w:p>
    <w:p>
      <w:r>
        <w:t>3. 商业贿赂: 向公司员工行贿获取订单或质检放行</w:t>
      </w:r>
    </w:p>
    <w:p>
      <w:r>
        <w:t>4. 严重安全事故: 因供应商原因导致终端消费者人身伤害</w:t>
      </w:r>
    </w:p>
    <w:p>
      <w:r>
        <w:t>5. 数据造假: 伪造检测报告、篡改生产记录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第四章 皮具类特殊要求</w:t>
      </w:r>
    </w:p>
    <w:p/>
    <w:p>
      <w:pPr>
        <w:pStyle w:val="Heading3"/>
      </w:pPr>
      <w:r>
        <w:rPr>
          <w:b/>
          <w:sz w:val="26"/>
        </w:rPr>
        <w:t>4.1 皮革采购标准</w:t>
      </w:r>
    </w:p>
    <w:p/>
    <w:p>
      <w:r>
        <w:t>皮料类型  |  分级标准  |  允许瑕疵</w:t>
      </w:r>
    </w:p>
    <w:p>
      <w:r>
        <w:t>头层牛皮  |  全粒面，厚度 1.2-1.6mm  |  背部主裁面无明显瑕疵，边腹允许≤1处直径 5mm 伤痕</w:t>
      </w:r>
    </w:p>
    <w:p>
      <w:r>
        <w:t>小羊皮  |  全粒面，厚度 0.8-1.0mm  |  无明显血筋；允许≤2处轻微色斑</w:t>
      </w:r>
    </w:p>
    <w:p>
      <w:r>
        <w:t>疯马皮  |  油蜡处理，厚度 1.4-1.8mm  |  风格化的自然纹理不属于瑕疵</w:t>
      </w:r>
    </w:p>
    <w:p>
      <w:r>
        <w:t>二层牛皮  |  覆膜/PU 涂饰  |  覆膜无气泡、剥离强度 ≥3N/cm</w:t>
      </w:r>
    </w:p>
    <w:p/>
    <w:p>
      <w:pPr>
        <w:pStyle w:val="Heading3"/>
      </w:pPr>
      <w:r>
        <w:rPr>
          <w:b/>
          <w:sz w:val="26"/>
        </w:rPr>
        <w:t>4.2 五金件标准</w:t>
      </w:r>
    </w:p>
    <w:p/>
    <w:p>
      <w:r>
        <w:t>- 拉链品牌指定: YKK 或 SBS，须提供品牌授权证明</w:t>
      </w:r>
    </w:p>
    <w:p>
      <w:r>
        <w:t>- 电镀厚度: 铜底镀镍 ≥5μm + 镀金/镀铬 ≥0.1μm</w:t>
      </w:r>
    </w:p>
    <w:p>
      <w:r>
        <w:t>- 磁扣吸力: 单颗磁扣闭合力 ≥3N</w:t>
      </w:r>
    </w:p>
    <w:p>
      <w:r>
        <w:t>- 所有五金件须能通过 48 小时中性盐雾测试（ISO 9227）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第五章 杯具类特殊要求</w:t>
      </w:r>
    </w:p>
    <w:p/>
    <w:p>
      <w:pPr>
        <w:pStyle w:val="Heading3"/>
      </w:pPr>
      <w:r>
        <w:rPr>
          <w:b/>
          <w:sz w:val="26"/>
        </w:rPr>
        <w:t>5.1 不锈钢材质验证</w:t>
      </w:r>
    </w:p>
    <w:p/>
    <w:p>
      <w:r>
        <w:t>每批次入仓须附带:</w:t>
      </w:r>
    </w:p>
    <w:p>
      <w:r>
        <w:t>1. 材质光谱分析报告（确认 304/316 牌号）</w:t>
      </w:r>
    </w:p>
    <w:p>
      <w:r>
        <w:t>2. 食品接触材料迁移量检测（GB 4806.9）</w:t>
      </w:r>
    </w:p>
    <w:p>
      <w:r>
        <w:t>3. 如销往欧盟: EC 1935/2004 符合性声明</w:t>
      </w:r>
    </w:p>
    <w:p/>
    <w:p>
      <w:pPr>
        <w:pStyle w:val="Heading3"/>
      </w:pPr>
      <w:r>
        <w:rPr>
          <w:b/>
          <w:sz w:val="26"/>
        </w:rPr>
        <w:t>5.2 真空保温效能测试</w:t>
      </w:r>
    </w:p>
    <w:p/>
    <w:p>
      <w:r>
        <w:t>- 抽样比例: 每批次 2%，不低于 10 个</w:t>
      </w:r>
    </w:p>
    <w:p>
      <w:r>
        <w:t>- 测试条件: 注入 95°C±1°C 热水，环境温度 20°C±2°C</w:t>
      </w:r>
    </w:p>
    <w:p>
      <w:r>
        <w:t>- 判定: 6 小时后温度 ≥55°C 为合格（316 不锈钢）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第六章 附则</w:t>
      </w:r>
    </w:p>
    <w:p/>
    <w:p>
      <w:r>
        <w:t>- 本制度每半年复审一次，由供应链管理部发起</w:t>
      </w:r>
    </w:p>
    <w:p>
      <w:r>
        <w:t>- 供应商考核结果每季度在 SRM 系统中公示</w:t>
      </w:r>
    </w:p>
    <w:p>
      <w:r>
        <w:t>- 本制度解释权归供应链管理部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*附录 A: 供应商验厂检查表 / 附录 B: 反商业贿赂承诺书模板 / 附录 C: 保密协议模板*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