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0"/>
        </w:rPr>
        <w:t>全球优选 · 跨境售后与退换货政策</w:t>
      </w:r>
    </w:p>
    <w:p/>
    <w:p>
      <w:pPr>
        <w:ind w:left="567"/>
      </w:pPr>
      <w:r>
        <w:rPr>
          <w:i/>
          <w:color w:val="646464"/>
        </w:rPr>
        <w:t>文件编号: POL-CS-2026-002 | 版本: v3.0 | 生效: 2026-04-01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一、售后总则</w:t>
      </w:r>
    </w:p>
    <w:p/>
    <w:p>
      <w:r>
        <w:t>退换货承诺: 我们对产品质量负责到底。以下条款依据各市场消费者保护法规制定，取最有利于消费者的标准执行。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二、各国市场退换货窗口</w:t>
      </w:r>
    </w:p>
    <w:p/>
    <w:p>
      <w:r>
        <w:t>市场  |  法定退货期  |  我们承诺  |  适用法规</w:t>
      </w:r>
    </w:p>
    <w:p>
      <w:r>
        <w:t>美国  |  因州而异（多数无强制）  |  **30 天无理由退货**  |  FTC Mail Order Rule</w:t>
      </w:r>
    </w:p>
    <w:p>
      <w:r>
        <w:t>欧盟  |  14 天冷静期  |  **30 天无理由退货**  |  EU Consumer Rights Directive 2011/83/EU</w:t>
      </w:r>
    </w:p>
    <w:p>
      <w:r>
        <w:t>英国  |  14 天冷静期  |  **30 天无理由退货**  |  Consumer Contracts Regulations 2013</w:t>
      </w:r>
    </w:p>
    <w:p>
      <w:r>
        <w:t>日本  |  无强制冷静期  |  **14 天无理由退货**  |  特定商取引法</w:t>
      </w:r>
    </w:p>
    <w:p>
      <w:r>
        <w:t>加拿大  |  因省而异  |  **30 天无理由退货**  |  各省 Consumer Protection Act</w:t>
      </w:r>
    </w:p>
    <w:p/>
    <w:p>
      <w:pPr>
        <w:ind w:left="567"/>
      </w:pPr>
      <w:r>
        <w:rPr>
          <w:i/>
          <w:color w:val="646464"/>
        </w:rPr>
        <w:t>**注意**: 德国站特殊——消费者有权要求**免费退货**，不可收取退货运费。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三、分品类退换货细则</w:t>
      </w:r>
    </w:p>
    <w:p/>
    <w:p>
      <w:pPr>
        <w:pStyle w:val="Heading3"/>
      </w:pPr>
      <w:r>
        <w:rPr>
          <w:b/>
          <w:sz w:val="26"/>
        </w:rPr>
        <w:t>3.1 皮具类</w:t>
      </w:r>
    </w:p>
    <w:p/>
    <w:p>
      <w:r>
        <w:t>问题类型  |  判定标准  |  处理方案  |  责任方</w:t>
      </w:r>
    </w:p>
    <w:p>
      <w:r>
        <w:t>皮面开裂  |  使用 30 天内非人为划伤  |  全额退款+补发  |  工厂</w:t>
      </w:r>
    </w:p>
    <w:p>
      <w:r>
        <w:t>五金掉色  |  使用 60 天内正常使用褪色  |  免费维修或换新  |  工厂</w:t>
      </w:r>
    </w:p>
    <w:p>
      <w:r>
        <w:t>缝线脱落  |  使用 90 天内非勾扯断裂  |  免费维修  |  工厂</w:t>
      </w:r>
    </w:p>
    <w:p>
      <w:r>
        <w:t>色差  |  实物与详情页图片色差 &gt;ΔE 3.0  |  可无理由退货（含运费）  |  运营</w:t>
      </w:r>
    </w:p>
    <w:p>
      <w:r>
        <w:t>尺寸不符  |  实际尺寸与页面标注偏差 &gt;1cm  |  换货或退款  |  运营</w:t>
      </w:r>
    </w:p>
    <w:p>
      <w:r>
        <w:t>皮质气味  |  通风 48 小时后仍有刺鼻气味  |  全额退款  |  工厂</w:t>
      </w:r>
    </w:p>
    <w:p/>
    <w:p>
      <w:r>
        <w:t>不适用无条件退换的情形:</w:t>
      </w:r>
    </w:p>
    <w:p>
      <w:r>
        <w:t>- 顾客提供错误尺码信息导致的定制款</w:t>
      </w:r>
    </w:p>
    <w:p>
      <w:r>
        <w:t>- 明显人为损坏（烟烫、刀割、宠物抓咬、强力撕扯）</w:t>
      </w:r>
    </w:p>
    <w:p>
      <w:r>
        <w:t>- 使用超过 90 天的一般性磨损</w:t>
      </w:r>
    </w:p>
    <w:p/>
    <w:p>
      <w:pPr>
        <w:pStyle w:val="Heading3"/>
      </w:pPr>
      <w:r>
        <w:rPr>
          <w:b/>
          <w:sz w:val="26"/>
        </w:rPr>
        <w:t>3.2 杯具类</w:t>
      </w:r>
    </w:p>
    <w:p/>
    <w:p>
      <w:r>
        <w:t>问题类型  |  判定标准  |  处理方案</w:t>
      </w:r>
    </w:p>
    <w:p>
      <w:r>
        <w:t>不保温  |  注入 95°C 水 6 小时后 &lt;55°C（316）/ &lt;50°C（304）  |  换新</w:t>
      </w:r>
    </w:p>
    <w:p>
      <w:r>
        <w:t>漏水  |  拧紧后倒置有任何渗漏  |  换新</w:t>
      </w:r>
    </w:p>
    <w:p>
      <w:r>
        <w:t>异味  |  清水清洗 3 次后仍有异味  |  全额退款</w:t>
      </w:r>
    </w:p>
    <w:p>
      <w:r>
        <w:t>杯盖损坏  |  任何非人为摔碎  |  补发杯盖</w:t>
      </w:r>
    </w:p>
    <w:p>
      <w:r>
        <w:t>容量偏差  |  实际容量与标注偏差 &gt;10%  |  退款 50% 或换货</w:t>
      </w:r>
    </w:p>
    <w:p>
      <w:r>
        <w:t>掉漆划痕  |  收货开箱即有  |  换新或退 30%</w:t>
      </w:r>
    </w:p>
    <w:p/>
    <w:p>
      <w:pPr>
        <w:pStyle w:val="Heading3"/>
      </w:pPr>
      <w:r>
        <w:rPr>
          <w:b/>
          <w:sz w:val="26"/>
        </w:rPr>
        <w:t>3.3 帽饰类</w:t>
      </w:r>
    </w:p>
    <w:p/>
    <w:p>
      <w:r>
        <w:t>问题类型  |  判定标准  |  处理方案</w:t>
      </w:r>
    </w:p>
    <w:p>
      <w:r>
        <w:t>尺码不符  |  头围超出标注范围  |  换货（免来回运费）</w:t>
      </w:r>
    </w:p>
    <w:p>
      <w:r>
        <w:t>脱色  |  首次水洗掉色（色牢度不达标）  |  全额退款</w:t>
      </w:r>
    </w:p>
    <w:p>
      <w:r>
        <w:t>线头/开线  |  多于 3 处明显线头或接缝开裂  |  换新或退 30%</w:t>
      </w:r>
    </w:p>
    <w:p>
      <w:r>
        <w:t>变形  |  运输导致帽型压塌且无法恢复  |  补发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四、退货操作流程</w:t>
      </w:r>
    </w:p>
    <w:p/>
    <w:p>
      <w:pPr>
        <w:pStyle w:val="Heading3"/>
      </w:pPr>
      <w:r>
        <w:rPr>
          <w:b/>
          <w:sz w:val="26"/>
        </w:rPr>
        <w:t>4.1 退货申请要求</w:t>
      </w:r>
    </w:p>
    <w:p/>
    <w:p>
      <w:r>
        <w:t>1. 顾客通过官方渠道（网站/App/邮件）提交退货申请，附清晰照片或视频</w:t>
      </w:r>
    </w:p>
    <w:p>
      <w:r>
        <w:t>2. 客服 24 小时内审核（德国站 12 小时），审核通过后发送退货标签</w:t>
      </w:r>
    </w:p>
    <w:p>
      <w:r>
        <w:t>3. 退货标签有效期 14 天，顾客可预约上门取件或自行投递</w:t>
      </w:r>
    </w:p>
    <w:p/>
    <w:p>
      <w:pPr>
        <w:pStyle w:val="Heading3"/>
      </w:pPr>
      <w:r>
        <w:rPr>
          <w:b/>
          <w:sz w:val="26"/>
        </w:rPr>
        <w:t>4.2 退货地址</w:t>
      </w:r>
    </w:p>
    <w:p/>
    <w:p>
      <w:r>
        <w:t>市场  |  退货接收地址  |  联系人</w:t>
      </w:r>
    </w:p>
    <w:p>
      <w:r>
        <w:t>北美  |  Returns Dept, 1230 E Olympic Blvd, Los Angeles, CA 90021  |  LA Warehouse</w:t>
      </w:r>
    </w:p>
    <w:p>
      <w:r>
        <w:t>欧盟  |  Retourenabteilung, Wendenstraße 29, 20097 Hamburg  |  HH Warehouse</w:t>
      </w:r>
    </w:p>
    <w:p>
      <w:r>
        <w:t>日本  |  返品係, 大阪市住之江区南港東 4-5-2  |  OSAKA Returns</w:t>
      </w:r>
    </w:p>
    <w:p>
      <w:r>
        <w:t>中国（跨境退货）  |  深圳市龙岗区坂田街道坂雪岗大道 5028 号 1 号仓  |  深圳退货组</w:t>
      </w:r>
    </w:p>
    <w:p/>
    <w:p>
      <w:pPr>
        <w:pStyle w:val="Heading3"/>
      </w:pPr>
      <w:r>
        <w:rPr>
          <w:b/>
          <w:sz w:val="26"/>
        </w:rPr>
        <w:t>4.3 退款时效</w:t>
      </w:r>
    </w:p>
    <w:p/>
    <w:p>
      <w:r>
        <w:t>支付方式  |  退款到账时效  |  备注</w:t>
      </w:r>
    </w:p>
    <w:p>
      <w:r>
        <w:t>PayPal  |  3-5 工作日  |  争议期内可提 dispute</w:t>
      </w:r>
    </w:p>
    <w:p>
      <w:r>
        <w:t>信用卡  |  5-10 工作日  |  取决于发卡行</w:t>
      </w:r>
    </w:p>
    <w:p>
      <w:r>
        <w:t>Klarna / Afterpay  |  即时撤销  |  未出账单则直接取消</w:t>
      </w:r>
    </w:p>
    <w:p>
      <w:r>
        <w:t>支付宝/微信  |  1-3 工作日  |  仅限中文站</w:t>
      </w:r>
    </w:p>
    <w:p/>
    <w:p>
      <w:r>
        <w:t>退款金额构成:</w:t>
      </w:r>
    </w:p>
    <w:p>
      <w:r>
        <w:t>- 全额退款 = 商品价格 + 原始运费（如质量问题）</w:t>
      </w:r>
    </w:p>
    <w:p>
      <w:r>
        <w:t>- 无理由退货 = 商品价格 - 退货运费（德国站除外）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五、客户投诉分级与响应</w:t>
      </w:r>
    </w:p>
    <w:p/>
    <w:p>
      <w:r>
        <w:t>级别  |  定义  |  响应时效  |  关闭时效</w:t>
      </w:r>
    </w:p>
    <w:p>
      <w:r>
        <w:t>P0（紧急）  |  人身安全问题、法律诉讼威胁、社交媒体爆发  |  1 小时  |  24 小时</w:t>
      </w:r>
    </w:p>
    <w:p>
      <w:r>
        <w:t>P1（高）  |  单件金额 &gt;$200 的质量问题、KOL 投诉  |  4 小时  |  3 工作日</w:t>
      </w:r>
    </w:p>
    <w:p>
      <w:r>
        <w:t>P2（中）  |  一般质量问题、物流破损  |  12 小时  |  7 工作日</w:t>
      </w:r>
    </w:p>
    <w:p>
      <w:r>
        <w:t>P3（低）  |  使用咨询、配件补发  |  24 小时  |  14 工作日</w:t>
      </w:r>
    </w:p>
    <w:p/>
    <w:p>
      <w:r>
        <w:t>P0 升级路径: 客服组长 → 客服经理 → 运营总监 → CEO（每级 15 分钟内未响应则自动升级至下一级）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b/>
          <w:sz w:val="32"/>
        </w:rPr>
        <w:t>六、争议处理</w:t>
      </w:r>
    </w:p>
    <w:p/>
    <w:p>
      <w:pPr>
        <w:pStyle w:val="Heading3"/>
      </w:pPr>
      <w:r>
        <w:rPr>
          <w:b/>
          <w:sz w:val="26"/>
        </w:rPr>
        <w:t>6.1 PayPal Buyer Protection</w:t>
      </w:r>
    </w:p>
    <w:p/>
    <w:p>
      <w:r>
        <w:t>- 顾客可通过 PayPal 在交易后 180 天内 提起争议</w:t>
      </w:r>
    </w:p>
    <w:p>
      <w:r>
        <w:t>- 争议期内需提供: 签收记录、沟通记录、质量鉴定材料</w:t>
      </w:r>
    </w:p>
    <w:p>
      <w:r>
        <w:t>- PayPal 争议败诉率目标: &lt;2%</w:t>
      </w:r>
    </w:p>
    <w:p/>
    <w:p>
      <w:pPr>
        <w:pStyle w:val="Heading3"/>
      </w:pPr>
      <w:r>
        <w:rPr>
          <w:b/>
          <w:sz w:val="26"/>
        </w:rPr>
        <w:t>6.2 Chargeback 管理</w:t>
      </w:r>
    </w:p>
    <w:p/>
    <w:p>
      <w:r>
        <w:t>- 信用卡 Chargeback 率须控制在 0.9% 以内（Visa/Mastercard 阈值 1.0%）</w:t>
      </w:r>
    </w:p>
    <w:p>
      <w:r>
        <w:t>- 超过 0.9% 触发运营预警，立即排查问题品类</w:t>
      </w:r>
    </w:p>
    <w:p>
      <w:r>
        <w:t>- 2026 年 Q2 Chargeback 率目标: ≤0.5%</w:t>
      </w:r>
    </w:p>
    <w:p/>
    <w:p>
      <w:pPr>
        <w:pStyle w:val="Heading3"/>
      </w:pPr>
      <w:r>
        <w:rPr>
          <w:b/>
          <w:sz w:val="26"/>
        </w:rPr>
        <w:t>6.3 德国市场特殊条款</w:t>
      </w:r>
    </w:p>
    <w:p/>
    <w:p>
      <w:r>
        <w:t>- 退货返程运费由我方承担（欧盟法规要求）</w:t>
      </w:r>
    </w:p>
    <w:p>
      <w:r>
        <w:t>- 退货标签须为预付费（prepaid），不可使用到付</w:t>
      </w:r>
    </w:p>
    <w:p>
      <w:r>
        <w:t>- 德国包装法 (VerpackG) 要求：所有发往德国的包裹须注册 LUCID 包装回收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*本文档每季度复审，更新后推送至所有客服人员企业微信。*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