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sz w:val="40"/>
        </w:rPr>
        <w:t>全球优选 · 跨境物流操作指南</w:t>
      </w:r>
    </w:p>
    <w:p/>
    <w:p>
      <w:pPr>
        <w:ind w:left="567"/>
      </w:pPr>
      <w:r>
        <w:rPr>
          <w:i/>
          <w:color w:val="646464"/>
        </w:rPr>
        <w:t>文件编号: SOP-LOG-2026-003 | 版本: v2.2 | 更新: 2026-06-15</w:t>
      </w:r>
    </w:p>
    <w:p>
      <w:pPr>
        <w:ind w:left="567"/>
      </w:pPr>
      <w:r>
        <w:rPr>
          <w:i/>
          <w:color w:val="646464"/>
        </w:rPr>
        <w:t>编制: 物流部 | 适用范围: 深圳总仓、各海外仓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一、发货流程总览</w:t>
      </w:r>
    </w:p>
    <w:p/>
    <w:p>
      <w:r>
        <w:t>```</w:t>
      </w:r>
    </w:p>
    <w:p>
      <w:r>
        <w:t>订单抓取 (每小时) → 审单 (异常拦截) → 配货 (WMS波次) → 复核称重 → 贴标出库 → 干线揽收 → 清关 → 尾程派送 → 签收</w:t>
      </w:r>
    </w:p>
    <w:p>
      <w:r>
        <w:t>```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二、订单处理规则</w:t>
      </w:r>
    </w:p>
    <w:p/>
    <w:p>
      <w:pPr>
        <w:pStyle w:val="Heading3"/>
      </w:pPr>
      <w:r>
        <w:rPr>
          <w:b/>
          <w:sz w:val="26"/>
        </w:rPr>
        <w:t>2.1 审单自动拦截条件</w:t>
      </w:r>
    </w:p>
    <w:p/>
    <w:p>
      <w:r>
        <w:t>拦截类型  |  触发条件  |  处理方式</w:t>
      </w:r>
    </w:p>
    <w:p>
      <w:r>
        <w:t>地址异常  |  地址不完整、邮编与城市不匹配、疑似 PO Box（部分线路不支持）  |  转人工核实</w:t>
      </w:r>
    </w:p>
    <w:p>
      <w:r>
        <w:t>金额异常  |  单品数量 &gt;50 件 或 订单金额 &gt;$2000  |  风控审核</w:t>
      </w:r>
    </w:p>
    <w:p>
      <w:r>
        <w:t>重复订单  |  同一地址+同一 SKU 2 小时内下单 &gt;3 次  |  合并或确认</w:t>
      </w:r>
    </w:p>
    <w:p>
      <w:r>
        <w:t>高风险国家  |  发往 OFAC 制裁国家（伊朗、朝鲜、叙利亚等）  |  自动取消+退款</w:t>
      </w:r>
    </w:p>
    <w:p>
      <w:r>
        <w:t>电话缺失  |  尾程需电话通知的线路缺少电话号  |  转人工补充</w:t>
      </w:r>
    </w:p>
    <w:p/>
    <w:p>
      <w:pPr>
        <w:pStyle w:val="Heading3"/>
      </w:pPr>
      <w:r>
        <w:rPr>
          <w:b/>
          <w:sz w:val="26"/>
        </w:rPr>
        <w:t>2.2 分仓规则</w:t>
      </w:r>
    </w:p>
    <w:p/>
    <w:p>
      <w:r>
        <w:t>条件  |  发货仓  |  优先级</w:t>
      </w:r>
    </w:p>
    <w:p>
      <w:r>
        <w:t>收货地址在美国西部 (CA/OR/WA/NV/AZ)  |  洛杉矶海外仓  |  1</w:t>
      </w:r>
    </w:p>
    <w:p>
      <w:r>
        <w:t>收货地址在美国其他州，库存有货  |  洛杉矶海外仓  |  2</w:t>
      </w:r>
    </w:p>
    <w:p>
      <w:r>
        <w:t>洛杉矶断货但深圳有库存  |  深圳总仓（快线）  |  3</w:t>
      </w:r>
    </w:p>
    <w:p>
      <w:r>
        <w:t>收货地址在欧盟  |  汉堡海外仓  |  1</w:t>
      </w:r>
    </w:p>
    <w:p>
      <w:r>
        <w:t>汉堡断货  |  深圳总仓 → 欧盟快线  |  2</w:t>
      </w:r>
    </w:p>
    <w:p>
      <w:r>
        <w:t>收货地址在日本  |  大阪海外仓  |  1</w:t>
      </w:r>
    </w:p>
    <w:p/>
    <w:p>
      <w:pPr>
        <w:pStyle w:val="Heading3"/>
      </w:pPr>
      <w:r>
        <w:rPr>
          <w:b/>
          <w:sz w:val="26"/>
        </w:rPr>
        <w:t>2.3 截单时间</w:t>
      </w:r>
    </w:p>
    <w:p/>
    <w:p>
      <w:r>
        <w:t>仓  |  截单时间（当地时间）  |  当日出库</w:t>
      </w:r>
    </w:p>
    <w:p>
      <w:r>
        <w:t>深圳总仓  |  17:00 CST  |  17:00 前付款订单</w:t>
      </w:r>
    </w:p>
    <w:p>
      <w:r>
        <w:t>洛杉矶仓  |  15:00 PST  |  15:00 前推送订单</w:t>
      </w:r>
    </w:p>
    <w:p>
      <w:r>
        <w:t>汉堡仓  |  14:00 CET  |  14:00 前推送订单</w:t>
      </w:r>
    </w:p>
    <w:p>
      <w:r>
        <w:t>大阪仓  |  16:00 JST  |  16:00 前推送订单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三、包装规范</w:t>
      </w:r>
    </w:p>
    <w:p/>
    <w:p>
      <w:pPr>
        <w:pStyle w:val="Heading3"/>
      </w:pPr>
      <w:r>
        <w:rPr>
          <w:b/>
          <w:sz w:val="26"/>
        </w:rPr>
        <w:t>3.1 皮具类包装</w:t>
      </w:r>
    </w:p>
    <w:p/>
    <w:p>
      <w:r>
        <w:t>步骤  |  要求</w:t>
      </w:r>
    </w:p>
    <w:p>
      <w:r>
        <w:t>1. 内填充  |  包内塞入拷贝纸或无纺布填充物，保持包型</w:t>
      </w:r>
    </w:p>
    <w:p>
      <w:r>
        <w:t>2. 防潮  |  套入 PE 自封袋，内置一包硅胶干燥剂 (5g)</w:t>
      </w:r>
    </w:p>
    <w:p>
      <w:r>
        <w:t>3. 防刮  |  五金件单独包裹拷贝纸，拉链头套 EPE 保护套</w:t>
      </w:r>
    </w:p>
    <w:p>
      <w:r>
        <w:t>4. 外箱  |  K3K 瓦楞纸箱，空隙用气泡膜填充，摇晃测试无位移</w:t>
      </w:r>
    </w:p>
    <w:p>
      <w:r>
        <w:t>5. 标识  |  外箱贴"防潮/怕压"标识，单件重量 &gt;3kg 标注重量</w:t>
      </w:r>
    </w:p>
    <w:p/>
    <w:p>
      <w:pPr>
        <w:pStyle w:val="Heading3"/>
      </w:pPr>
      <w:r>
        <w:rPr>
          <w:b/>
          <w:sz w:val="26"/>
        </w:rPr>
        <w:t>3.2 杯具类包装</w:t>
      </w:r>
    </w:p>
    <w:p/>
    <w:p>
      <w:r>
        <w:t>步骤  |  要求</w:t>
      </w:r>
    </w:p>
    <w:p>
      <w:r>
        <w:t>1. 杯体  |  独立 PE 袋包裹，杯盖与杯体分离包装</w:t>
      </w:r>
    </w:p>
    <w:p>
      <w:r>
        <w:t>2. 缓冲  |  定制珍珠棉（EPE）托盒，上下卡位固定</w:t>
      </w:r>
    </w:p>
    <w:p>
      <w:r>
        <w:t>3. 外盒  |  彩色白卡纸天地盒 + 外层 K3K 运输箱</w:t>
      </w:r>
    </w:p>
    <w:p>
      <w:r>
        <w:t>4. 抽检  |  每 500 个抽 1 个做跌落测试（1.2m 六面一角，无破损无凹陷）</w:t>
      </w:r>
    </w:p>
    <w:p/>
    <w:p>
      <w:pPr>
        <w:pStyle w:val="Heading3"/>
      </w:pPr>
      <w:r>
        <w:rPr>
          <w:b/>
          <w:sz w:val="26"/>
        </w:rPr>
        <w:t>3.3 帽饰类包装</w:t>
      </w:r>
    </w:p>
    <w:p/>
    <w:p>
      <w:r>
        <w:t>步骤  |  要求</w:t>
      </w:r>
    </w:p>
    <w:p>
      <w:r>
        <w:t>1. 帽型保持  |  内置帽撑或填充纸团保持帽型</w:t>
      </w:r>
    </w:p>
    <w:p>
      <w:r>
        <w:t>2. 防压  |  放入硬质天地盒，严禁使用快递袋直接装帽</w:t>
      </w:r>
    </w:p>
    <w:p>
      <w:r>
        <w:t>3. 外层  |  快递防水袋 + 内层纸盒双重保护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四、清关与合规</w:t>
      </w:r>
    </w:p>
    <w:p/>
    <w:p>
      <w:pPr>
        <w:pStyle w:val="Heading3"/>
      </w:pPr>
      <w:r>
        <w:rPr>
          <w:b/>
          <w:sz w:val="26"/>
        </w:rPr>
        <w:t>4.1 HS 编码速查</w:t>
      </w:r>
    </w:p>
    <w:p/>
    <w:p>
      <w:r>
        <w:t>品类  |  HS Code (中国出口)  |  HS Code (美国进口)  |  关税参考</w:t>
      </w:r>
    </w:p>
    <w:p>
      <w:r>
        <w:t>牛皮公文包  |  4202.11.90  |  4202.11.00  |  美国: 8%</w:t>
      </w:r>
    </w:p>
    <w:p>
      <w:r>
        <w:t>不锈钢保温杯  |  9617.00.90  |  9617.00.10  |  美国: 3.4%</w:t>
      </w:r>
    </w:p>
    <w:p>
      <w:r>
        <w:t>棉质棒球帽  |  6505.00.99  |  6505.00.80  |  美国: 6.8%</w:t>
      </w:r>
    </w:p>
    <w:p>
      <w:r>
        <w:t>Tritan 水杯  |  3924.10.00  |  3924.10.40  |  美国: 3.4%</w:t>
      </w:r>
    </w:p>
    <w:p/>
    <w:p>
      <w:pPr>
        <w:pStyle w:val="Heading3"/>
      </w:pPr>
      <w:r>
        <w:rPr>
          <w:b/>
          <w:sz w:val="26"/>
        </w:rPr>
        <w:t>4.2 商业发票 (Commercial Invoice) 规范</w:t>
      </w:r>
    </w:p>
    <w:p/>
    <w:p>
      <w:r>
        <w:t>- 申报价值: 按实际成交价申报（非成本价），虚低申报将导致海关扣货和罚款</w:t>
      </w:r>
    </w:p>
    <w:p>
      <w:r>
        <w:t>- 品名描述: 必须具体，不得写 "Gift" / "Sample" / "Accessories"</w:t>
      </w:r>
    </w:p>
    <w:p>
      <w:r>
        <w:t>- ✓ "Leather Briefcase, Cowhide" / "Stainless Steel Vacuum Flask 480ml"</w:t>
      </w:r>
    </w:p>
    <w:p>
      <w:r>
        <w:t>- ✗ "Bag" / "Cup" / "Daily Goods"</w:t>
      </w:r>
    </w:p>
    <w:p>
      <w:r>
        <w:t>- 原产地: 所有产品标注 "Made in China"</w:t>
      </w:r>
    </w:p>
    <w:p>
      <w:r>
        <w:t>- EORI 号码（欧盟）: 发票须含进口方 EORI 号（Economic Operators Registration and Identification）</w:t>
      </w:r>
    </w:p>
    <w:p/>
    <w:p>
      <w:pPr>
        <w:pStyle w:val="Heading3"/>
      </w:pPr>
      <w:r>
        <w:rPr>
          <w:b/>
          <w:sz w:val="26"/>
        </w:rPr>
        <w:t>4.3 欧盟特殊合规</w:t>
      </w:r>
    </w:p>
    <w:p/>
    <w:p>
      <w:r>
        <w:t>法规  |  对产品的影响  |  我们的应对</w:t>
      </w:r>
    </w:p>
    <w:p>
      <w:r>
        <w:t>REACH  |  限制皮革中六价铬 ≤3mg/kg  |  每批次供应商须提供 REACH 检测报告</w:t>
      </w:r>
    </w:p>
    <w:p>
      <w:r>
        <w:t>德国包装法 VerpackG  |  所有包装须注册 LUCID 回收  |  已注册，注册号: DE1234567890123</w:t>
      </w:r>
    </w:p>
    <w:p>
      <w:r>
        <w:t>法国 Triman 标识  |  可回收包装须印 Triman 标志  |  2026 Q3 起更新包材印刷</w:t>
      </w:r>
    </w:p>
    <w:p>
      <w:r>
        <w:t>欧盟 GPSR  |  2024年12月起需指定欧盟授权代表  |  已委托 Eurofins 作为授权代表</w:t>
      </w:r>
    </w:p>
    <w:p>
      <w:r>
        <w:t>CE 标识  |  杯具有电子部件（测温杯）须 CE 认证  |  HY-TH004 已取得 CE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五、异常处理</w:t>
      </w:r>
    </w:p>
    <w:p/>
    <w:p>
      <w:pPr>
        <w:pStyle w:val="Heading3"/>
      </w:pPr>
      <w:r>
        <w:rPr>
          <w:b/>
          <w:sz w:val="26"/>
        </w:rPr>
        <w:t>5.1 物流异常分类</w:t>
      </w:r>
    </w:p>
    <w:p/>
    <w:p>
      <w:r>
        <w:t>异常类型  |  响应时效  |  处理方案</w:t>
      </w:r>
    </w:p>
    <w:p>
      <w:r>
        <w:t>包裹丢失  |  承运商确认为丢失后 24h 内  |  按货值全额赔付客户 → 向承运商索赔</w:t>
      </w:r>
    </w:p>
    <w:p>
      <w:r>
        <w:t>包裹破损  |  客户提供开箱照片 24h 内  |  补发或退款（破损严重），外包装完整但内物损毁由我方承担</w:t>
      </w:r>
    </w:p>
    <w:p>
      <w:r>
        <w:t>海关扣货  |  收到海关通知 4h 内  |  提供补充文件；如因申报原因扣货，物流负责人承担直接责任</w:t>
      </w:r>
    </w:p>
    <w:p>
      <w:r>
        <w:t>地址错误退回  |  退回入仓 48h 内  |  联系客户确认地址，产生额外运费由客户承担（首次免运费补给）</w:t>
      </w:r>
    </w:p>
    <w:p>
      <w:r>
        <w:t>虚假签收  |  客户反馈未收到 2h 内  |  提供 POD 签收凭证+GPS 坐标；确认为虚假签收则补发并投诉承运商</w:t>
      </w:r>
    </w:p>
    <w:p>
      <w:r>
        <w:t>旺季爆仓  |  实时监控  |  启动备用承运商，邮件批量通知客户时效延迟</w:t>
      </w:r>
    </w:p>
    <w:p/>
    <w:p>
      <w:pPr>
        <w:pStyle w:val="Heading3"/>
      </w:pPr>
      <w:r>
        <w:rPr>
          <w:b/>
          <w:sz w:val="26"/>
        </w:rPr>
        <w:t>5.2 承运商绩效</w:t>
      </w:r>
    </w:p>
    <w:p/>
    <w:p>
      <w:r>
        <w:t>承运商  |  线路  |  准时率 KPI  |  破损率上限  |  当前表现</w:t>
      </w:r>
    </w:p>
    <w:p>
      <w:r>
        <w:t>云途  |  中美线  |  ≥95%  |  ≤0.5%  |  96.2%/0.3% ✅</w:t>
      </w:r>
    </w:p>
    <w:p>
      <w:r>
        <w:t>燕文  |  中美线  |  ≥93%  |  ≤0.8%  |  93.5%/0.7% ✅</w:t>
      </w:r>
    </w:p>
    <w:p>
      <w:r>
        <w:t>4PX  |  中欧线  |  ≥94%  |  ≤0.5%  |  92.1%/0.6% ⚠️ 需约谈</w:t>
      </w:r>
    </w:p>
    <w:p>
      <w:r>
        <w:t>DHL eCommerce  |  中美东线  |  ≥97%  |  ≤0.3%  |  97.8%/0.2% ✅</w:t>
      </w:r>
    </w:p>
    <w:p>
      <w:r>
        <w:t>佐川急便  |  中日线  |  ≥98%  |  ≤0.2%  |  98.5%/0.1% ✅</w:t>
      </w:r>
    </w:p>
    <w:p/>
    <w:p>
      <w:pPr>
        <w:ind w:left="567"/>
      </w:pPr>
      <w:r>
        <w:rPr>
          <w:i/>
          <w:color w:val="646464"/>
        </w:rPr>
        <w:t>⚠️ 4PX 连续两个月准时率低于 94%，物流部须于本月内提交整改方案或切换承运商。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六、库存预警规则</w:t>
      </w:r>
    </w:p>
    <w:p/>
    <w:p>
      <w:r>
        <w:t>预警等级  |  触发条件  |  操作</w:t>
      </w:r>
    </w:p>
    <w:p>
      <w:r>
        <w:t>黄 (关注)  |  库存 &lt; 3 周日均销量  |  通知采购备货</w:t>
      </w:r>
    </w:p>
    <w:p>
      <w:r>
        <w:t>橙 (补货)  |  库存 &lt; 2 周日均销量  |  48h 内创建采购单</w:t>
      </w:r>
    </w:p>
    <w:p>
      <w:r>
        <w:t>红 (紧急)  |  库存 &lt; 1 周日均销量  |  启动空运补货（不计成本），同步官网标注"低库存"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*本文档关联: 《承运商SLA协议》《WMS操作手册》《报关SOP》*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