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3"/>
        <w:gridCol w:w="2076"/>
        <w:gridCol w:w="2382"/>
        <w:gridCol w:w="2127"/>
      </w:tblGrid>
      <w:tr w:rsidR="00B12CF8" w14:paraId="0C68B007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64CAAB63" w14:textId="0443D719" w:rsidR="00C2723D" w:rsidRPr="00C2723D" w:rsidRDefault="00C2723D" w:rsidP="00C2723D">
            <w:r w:rsidRPr="00C2723D">
              <w:drawing>
                <wp:anchor distT="0" distB="0" distL="114300" distR="114300" simplePos="0" relativeHeight="251663360" behindDoc="0" locked="0" layoutInCell="1" allowOverlap="1" wp14:anchorId="5761FA42" wp14:editId="412003F0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342900</wp:posOffset>
                  </wp:positionV>
                  <wp:extent cx="960120" cy="952500"/>
                  <wp:effectExtent l="0" t="0" r="0" b="0"/>
                  <wp:wrapSquare wrapText="bothSides"/>
                  <wp:docPr id="1173139231" name="Gráfico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154209" name="Gráfico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10998" t="37067" r="71083" b="36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8C8906" w14:textId="6EA552AF" w:rsidR="00B12CF8" w:rsidRDefault="00B12CF8"/>
        </w:tc>
        <w:tc>
          <w:tcPr>
            <w:tcW w:w="7000" w:type="dxa"/>
            <w:gridSpan w:val="2"/>
            <w:vMerge w:val="restart"/>
          </w:tcPr>
          <w:p w14:paraId="3171725D" w14:textId="77777777" w:rsidR="00B12CF8" w:rsidRDefault="00000000">
            <w:r>
              <w:t>Guía para el Reporte y Seguimiento de Incidentes en la Planta</w:t>
            </w:r>
          </w:p>
        </w:tc>
        <w:tc>
          <w:tcPr>
            <w:tcW w:w="3000" w:type="dxa"/>
          </w:tcPr>
          <w:p w14:paraId="683D22B0" w14:textId="77777777" w:rsidR="00B12CF8" w:rsidRDefault="00000000">
            <w:r>
              <w:t>Página 0 de 0</w:t>
            </w:r>
          </w:p>
        </w:tc>
      </w:tr>
      <w:tr w:rsidR="00B12CF8" w14:paraId="1C672F4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14:paraId="2735BA36" w14:textId="77777777" w:rsidR="00000000" w:rsidRDefault="00000000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</w:tcPr>
          <w:p w14:paraId="53356FE6" w14:textId="77777777" w:rsidR="00000000" w:rsidRDefault="00000000">
            <w:pPr>
              <w:spacing w:after="0" w:line="240" w:lineRule="auto"/>
            </w:pPr>
          </w:p>
        </w:tc>
        <w:tc>
          <w:tcPr>
            <w:tcW w:w="3000" w:type="dxa"/>
          </w:tcPr>
          <w:p w14:paraId="4412B2EE" w14:textId="77777777" w:rsidR="00B12CF8" w:rsidRDefault="00000000">
            <w:r>
              <w:t>Código: GPI-001</w:t>
            </w:r>
          </w:p>
        </w:tc>
      </w:tr>
      <w:tr w:rsidR="00B12CF8" w14:paraId="216CA40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14:paraId="3D8D6FF7" w14:textId="77777777" w:rsidR="00000000" w:rsidRDefault="00000000">
            <w:pPr>
              <w:spacing w:after="0" w:line="240" w:lineRule="auto"/>
            </w:pPr>
          </w:p>
        </w:tc>
        <w:tc>
          <w:tcPr>
            <w:tcW w:w="3000" w:type="dxa"/>
          </w:tcPr>
          <w:p w14:paraId="760D20E8" w14:textId="77777777" w:rsidR="00B12CF8" w:rsidRDefault="00000000">
            <w:r>
              <w:t>Fecha Edición: 16/06/2025</w:t>
            </w:r>
          </w:p>
        </w:tc>
        <w:tc>
          <w:tcPr>
            <w:tcW w:w="3000" w:type="dxa"/>
          </w:tcPr>
          <w:p w14:paraId="70B45DBD" w14:textId="77777777" w:rsidR="00B12CF8" w:rsidRDefault="00000000">
            <w:r>
              <w:t>Versión: 1.0</w:t>
            </w:r>
          </w:p>
        </w:tc>
        <w:tc>
          <w:tcPr>
            <w:tcW w:w="3000" w:type="dxa"/>
          </w:tcPr>
          <w:p w14:paraId="527D066F" w14:textId="77777777" w:rsidR="00B12CF8" w:rsidRDefault="00000000">
            <w:r>
              <w:t>Fecha de Divulgación:</w:t>
            </w:r>
          </w:p>
        </w:tc>
      </w:tr>
      <w:tr w:rsidR="00B12CF8" w14:paraId="4D3D24B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5FDD2988" w14:textId="77777777" w:rsidR="00B12CF8" w:rsidRDefault="00000000">
            <w:r>
              <w:t>Elaboró: Departamento de Seguridad y Salud Ocupacional</w:t>
            </w:r>
          </w:p>
        </w:tc>
        <w:tc>
          <w:tcPr>
            <w:tcW w:w="6000" w:type="dxa"/>
            <w:gridSpan w:val="2"/>
          </w:tcPr>
          <w:p w14:paraId="428F3ED1" w14:textId="77777777" w:rsidR="00B12CF8" w:rsidRDefault="00000000">
            <w:r>
              <w:t>Revisó: Gerente de Operaciones</w:t>
            </w:r>
          </w:p>
        </w:tc>
        <w:tc>
          <w:tcPr>
            <w:tcW w:w="3000" w:type="dxa"/>
          </w:tcPr>
          <w:p w14:paraId="0C69ADCC" w14:textId="77777777" w:rsidR="00B12CF8" w:rsidRDefault="00000000">
            <w:r>
              <w:t>Autorizó: string</w:t>
            </w:r>
          </w:p>
        </w:tc>
      </w:tr>
    </w:tbl>
    <w:p w14:paraId="3DB6E78F" w14:textId="77777777" w:rsidR="00B12CF8" w:rsidRDefault="00B12CF8"/>
    <w:p w14:paraId="2CDE39AF" w14:textId="77777777" w:rsidR="00B12CF8" w:rsidRDefault="00000000">
      <w:pPr>
        <w:spacing w:before="200" w:after="200"/>
      </w:pPr>
      <w:r>
        <w:rPr>
          <w:b/>
        </w:rPr>
        <w:t>I. Objetivo</w:t>
      </w:r>
    </w:p>
    <w:p w14:paraId="6457B528" w14:textId="77777777" w:rsidR="00B12CF8" w:rsidRDefault="00000000">
      <w:r>
        <w:t>Establecer un protocolo claro y eficaz para el reporte y seguimiento de incidentes que ocurran en la planta de fabricación de piezas aeroespaciales, asegurando la seguridad de los trabajadores, el cumplimiento normativo y la mejora continua de los procesos operativos.</w:t>
      </w:r>
    </w:p>
    <w:p w14:paraId="13CD9D6B" w14:textId="77777777" w:rsidR="00B12CF8" w:rsidRDefault="00000000">
      <w:pPr>
        <w:spacing w:before="200" w:after="200"/>
      </w:pPr>
      <w:r>
        <w:rPr>
          <w:b/>
        </w:rPr>
        <w:t>II. Alcance</w:t>
      </w:r>
    </w:p>
    <w:p w14:paraId="521CDC33" w14:textId="77777777" w:rsidR="00B12CF8" w:rsidRDefault="00000000">
      <w:r>
        <w:t>Esta guía es aplicable a todos los empleados de la planta de fabricación de piezas aeroespaciales, incluyendo personal operativo, administrativo y de supervisión. Cubre incidentes relacionados con la seguridad, daños a la propiedad y cualquier otro evento que afecte el funcionamiento normal de las operaciones.</w:t>
      </w:r>
    </w:p>
    <w:p w14:paraId="3838718F" w14:textId="77777777" w:rsidR="00B12CF8" w:rsidRDefault="00000000">
      <w:pPr>
        <w:spacing w:before="200" w:after="200"/>
      </w:pPr>
      <w:r>
        <w:rPr>
          <w:b/>
        </w:rPr>
        <w:t>III. Responsabilidades</w:t>
      </w:r>
    </w:p>
    <w:p w14:paraId="68695D67" w14:textId="77777777" w:rsidR="00B12CF8" w:rsidRDefault="00000000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t>Empleados:</w:t>
      </w:r>
      <w:r>
        <w:t>Reportar</w:t>
      </w:r>
      <w:proofErr w:type="spellEnd"/>
      <w:proofErr w:type="gramEnd"/>
      <w:r>
        <w:t xml:space="preserve"> cualquier incidente o condición insegura observada a su supervisor inmediatamente.</w:t>
      </w:r>
    </w:p>
    <w:p w14:paraId="2D312C2F" w14:textId="77777777" w:rsidR="00B12CF8" w:rsidRDefault="00000000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t>Supervisores:</w:t>
      </w:r>
      <w:r>
        <w:t>Recibir</w:t>
      </w:r>
      <w:proofErr w:type="spellEnd"/>
      <w:proofErr w:type="gramEnd"/>
      <w:r>
        <w:t xml:space="preserve"> los reportes de incidentes, llevar a cabo una investigación preliminar y documentar los hallazgos.</w:t>
      </w:r>
    </w:p>
    <w:p w14:paraId="5278D2E7" w14:textId="77777777" w:rsidR="00B12CF8" w:rsidRDefault="00000000">
      <w:pPr>
        <w:numPr>
          <w:ilvl w:val="0"/>
          <w:numId w:val="1"/>
        </w:numPr>
      </w:pPr>
      <w:r>
        <w:rPr>
          <w:b/>
        </w:rPr>
        <w:t xml:space="preserve">Departamento de </w:t>
      </w:r>
      <w:proofErr w:type="spellStart"/>
      <w:proofErr w:type="gramStart"/>
      <w:r>
        <w:rPr>
          <w:b/>
        </w:rPr>
        <w:t>Seguridad:</w:t>
      </w:r>
      <w:r>
        <w:t>Analizar</w:t>
      </w:r>
      <w:proofErr w:type="spellEnd"/>
      <w:proofErr w:type="gramEnd"/>
      <w:r>
        <w:t xml:space="preserve"> los informes de incidentes para identificar tendencias y desarrollar programas de prevención.</w:t>
      </w:r>
    </w:p>
    <w:p w14:paraId="003FBADE" w14:textId="77777777" w:rsidR="00B12CF8" w:rsidRDefault="00000000">
      <w:pPr>
        <w:numPr>
          <w:ilvl w:val="0"/>
          <w:numId w:val="1"/>
        </w:numPr>
      </w:pPr>
      <w:r>
        <w:rPr>
          <w:b/>
        </w:rPr>
        <w:t xml:space="preserve">Gerente de </w:t>
      </w:r>
      <w:proofErr w:type="spellStart"/>
      <w:proofErr w:type="gramStart"/>
      <w:r>
        <w:rPr>
          <w:b/>
        </w:rPr>
        <w:t>Operaciones:</w:t>
      </w:r>
      <w:r>
        <w:t>Aprobar</w:t>
      </w:r>
      <w:proofErr w:type="spellEnd"/>
      <w:proofErr w:type="gramEnd"/>
      <w:r>
        <w:t xml:space="preserve"> las modificaciones necesarias en los procedimientos operativos basándose en los informes de incidentes.</w:t>
      </w:r>
    </w:p>
    <w:p w14:paraId="27F08D0C" w14:textId="77777777" w:rsidR="00B12CF8" w:rsidRDefault="00000000">
      <w:pPr>
        <w:numPr>
          <w:ilvl w:val="0"/>
          <w:numId w:val="1"/>
        </w:numPr>
      </w:pPr>
      <w:r>
        <w:rPr>
          <w:b/>
        </w:rPr>
        <w:lastRenderedPageBreak/>
        <w:t xml:space="preserve">Recursos </w:t>
      </w:r>
      <w:proofErr w:type="spellStart"/>
      <w:proofErr w:type="gramStart"/>
      <w:r>
        <w:rPr>
          <w:b/>
        </w:rPr>
        <w:t>Humanos:</w:t>
      </w:r>
      <w:r>
        <w:t>Apoyar</w:t>
      </w:r>
      <w:proofErr w:type="spellEnd"/>
      <w:proofErr w:type="gramEnd"/>
      <w:r>
        <w:t xml:space="preserve"> en la comunicación y gestión de incidentes que involucren a trabajadores, asegurando el cumplimiento de las normativas laborales.</w:t>
      </w:r>
    </w:p>
    <w:p w14:paraId="525FDA41" w14:textId="77777777" w:rsidR="00B12CF8" w:rsidRDefault="00000000">
      <w:pPr>
        <w:numPr>
          <w:ilvl w:val="0"/>
          <w:numId w:val="1"/>
        </w:numPr>
      </w:pPr>
      <w:r>
        <w:rPr>
          <w:b/>
        </w:rPr>
        <w:t xml:space="preserve">Departamento </w:t>
      </w:r>
      <w:proofErr w:type="spellStart"/>
      <w:proofErr w:type="gramStart"/>
      <w:r>
        <w:rPr>
          <w:b/>
        </w:rPr>
        <w:t>Legal:</w:t>
      </w:r>
      <w:r>
        <w:t>Brindar</w:t>
      </w:r>
      <w:proofErr w:type="spellEnd"/>
      <w:proofErr w:type="gramEnd"/>
      <w:r>
        <w:t xml:space="preserve"> asesoría sobre las implicaciones legales de los incidentes reportados y el manejo adecuado de la información.</w:t>
      </w:r>
    </w:p>
    <w:p w14:paraId="4244D01F" w14:textId="77777777" w:rsidR="00B12CF8" w:rsidRDefault="00000000">
      <w:pPr>
        <w:numPr>
          <w:ilvl w:val="0"/>
          <w:numId w:val="1"/>
        </w:numPr>
      </w:pPr>
      <w:r>
        <w:rPr>
          <w:b/>
        </w:rPr>
        <w:t xml:space="preserve">Auditoría </w:t>
      </w:r>
      <w:proofErr w:type="spellStart"/>
      <w:proofErr w:type="gramStart"/>
      <w:r>
        <w:rPr>
          <w:b/>
        </w:rPr>
        <w:t>Interna:</w:t>
      </w:r>
      <w:r>
        <w:t>Revisar</w:t>
      </w:r>
      <w:proofErr w:type="spellEnd"/>
      <w:proofErr w:type="gramEnd"/>
      <w:r>
        <w:t xml:space="preserve"> periódicamente los procesos de reporte y seguimiento de incidentes para asegurar la eficacia del sistema.</w:t>
      </w:r>
    </w:p>
    <w:p w14:paraId="64F10D4D" w14:textId="77777777" w:rsidR="00B12CF8" w:rsidRDefault="00000000">
      <w:pPr>
        <w:numPr>
          <w:ilvl w:val="0"/>
          <w:numId w:val="1"/>
        </w:numPr>
      </w:pPr>
      <w:r>
        <w:rPr>
          <w:b/>
        </w:rPr>
        <w:t xml:space="preserve">Comité de </w:t>
      </w:r>
      <w:proofErr w:type="spellStart"/>
      <w:proofErr w:type="gramStart"/>
      <w:r>
        <w:rPr>
          <w:b/>
        </w:rPr>
        <w:t>Seguridad:</w:t>
      </w:r>
      <w:r>
        <w:t>Evaluar</w:t>
      </w:r>
      <w:proofErr w:type="spellEnd"/>
      <w:proofErr w:type="gramEnd"/>
      <w:r>
        <w:t xml:space="preserve"> los informes de incidentes y sugerir mejoras para las políticas de seguridad.</w:t>
      </w:r>
    </w:p>
    <w:p w14:paraId="0E982D39" w14:textId="77777777" w:rsidR="00B12CF8" w:rsidRDefault="00000000">
      <w:pPr>
        <w:spacing w:before="200" w:after="200"/>
      </w:pPr>
      <w:r>
        <w:rPr>
          <w:b/>
        </w:rPr>
        <w:t>IV. Desarrollo</w:t>
      </w:r>
    </w:p>
    <w:p w14:paraId="7F0BACE9" w14:textId="77777777" w:rsidR="00B12CF8" w:rsidRDefault="00000000">
      <w:pPr>
        <w:numPr>
          <w:ilvl w:val="0"/>
          <w:numId w:val="2"/>
        </w:numPr>
      </w:pPr>
      <w:r>
        <w:rPr>
          <w:b/>
        </w:rPr>
        <w:t xml:space="preserve">Recepción del </w:t>
      </w:r>
      <w:proofErr w:type="spellStart"/>
      <w:proofErr w:type="gramStart"/>
      <w:r>
        <w:rPr>
          <w:b/>
        </w:rPr>
        <w:t>Incidente:</w:t>
      </w:r>
      <w:r>
        <w:t>El</w:t>
      </w:r>
      <w:proofErr w:type="spellEnd"/>
      <w:proofErr w:type="gramEnd"/>
      <w:r>
        <w:t xml:space="preserve"> empleado debe informar el incidente al supervisor más cercano de forma inmediata, proporcionando detalles sobre lo ocurrido.</w:t>
      </w:r>
    </w:p>
    <w:p w14:paraId="7DF5523D" w14:textId="77777777" w:rsidR="00B12CF8" w:rsidRDefault="00000000">
      <w:pPr>
        <w:numPr>
          <w:ilvl w:val="0"/>
          <w:numId w:val="2"/>
        </w:numPr>
      </w:pPr>
      <w:r>
        <w:rPr>
          <w:b/>
        </w:rPr>
        <w:t xml:space="preserve">Documentación </w:t>
      </w:r>
      <w:proofErr w:type="spellStart"/>
      <w:proofErr w:type="gramStart"/>
      <w:r>
        <w:rPr>
          <w:b/>
        </w:rPr>
        <w:t>Inicial:</w:t>
      </w:r>
      <w:r>
        <w:t>El</w:t>
      </w:r>
      <w:proofErr w:type="spellEnd"/>
      <w:proofErr w:type="gramEnd"/>
      <w:r>
        <w:t xml:space="preserve"> supervisor debe completar un formulario de incidentes que incluya la fecha, hora, lugar del incidente, descripción detallada del evento y testigos, si los hay.</w:t>
      </w:r>
    </w:p>
    <w:p w14:paraId="4760E812" w14:textId="77777777" w:rsidR="00B12CF8" w:rsidRDefault="00000000">
      <w:pPr>
        <w:numPr>
          <w:ilvl w:val="0"/>
          <w:numId w:val="2"/>
        </w:numPr>
      </w:pPr>
      <w:r>
        <w:rPr>
          <w:b/>
        </w:rPr>
        <w:t xml:space="preserve">Investigación </w:t>
      </w:r>
      <w:proofErr w:type="spellStart"/>
      <w:proofErr w:type="gramStart"/>
      <w:r>
        <w:rPr>
          <w:b/>
        </w:rPr>
        <w:t>Preliminar:</w:t>
      </w:r>
      <w:r>
        <w:t>El</w:t>
      </w:r>
      <w:proofErr w:type="spellEnd"/>
      <w:proofErr w:type="gramEnd"/>
      <w:r>
        <w:t xml:space="preserve"> supervisor llevará a cabo una investigación preliminar en el lugar del incidente para entender las causas y circunstancias que llevaron al evento.</w:t>
      </w:r>
    </w:p>
    <w:p w14:paraId="6BB3C265" w14:textId="77777777" w:rsidR="00B12CF8" w:rsidRDefault="00000000">
      <w:pPr>
        <w:numPr>
          <w:ilvl w:val="0"/>
          <w:numId w:val="2"/>
        </w:numPr>
      </w:pPr>
      <w:r>
        <w:rPr>
          <w:b/>
        </w:rPr>
        <w:t xml:space="preserve">Análisis de </w:t>
      </w:r>
      <w:proofErr w:type="spellStart"/>
      <w:proofErr w:type="gramStart"/>
      <w:r>
        <w:rPr>
          <w:b/>
        </w:rPr>
        <w:t>Causas:</w:t>
      </w:r>
      <w:r>
        <w:t>El</w:t>
      </w:r>
      <w:proofErr w:type="spellEnd"/>
      <w:proofErr w:type="gramEnd"/>
      <w:r>
        <w:t xml:space="preserve"> Comité de Seguridad se reunirá para analizar el informe y determinar las causas raíz del incidente, utilizando herramientas como el análisis de Pareto o el diagrama de Ishikawa.</w:t>
      </w:r>
    </w:p>
    <w:p w14:paraId="6A357DF2" w14:textId="77777777" w:rsidR="00B12CF8" w:rsidRDefault="00000000">
      <w:pPr>
        <w:numPr>
          <w:ilvl w:val="0"/>
          <w:numId w:val="2"/>
        </w:numPr>
      </w:pPr>
      <w:r>
        <w:rPr>
          <w:b/>
        </w:rPr>
        <w:t xml:space="preserve">Desarrollo de Plan de </w:t>
      </w:r>
      <w:proofErr w:type="spellStart"/>
      <w:proofErr w:type="gramStart"/>
      <w:r>
        <w:rPr>
          <w:b/>
        </w:rPr>
        <w:t>Acción:</w:t>
      </w:r>
      <w:r>
        <w:t>Una</w:t>
      </w:r>
      <w:proofErr w:type="spellEnd"/>
      <w:proofErr w:type="gramEnd"/>
      <w:r>
        <w:t xml:space="preserve"> vez identificadas las causas, se elaborará un plan de acción que contemple medidas correctivas y preventivas para evitar la recurrencia del incidente.</w:t>
      </w:r>
    </w:p>
    <w:p w14:paraId="212DA46D" w14:textId="77777777" w:rsidR="00B12CF8" w:rsidRDefault="00000000">
      <w:pPr>
        <w:numPr>
          <w:ilvl w:val="0"/>
          <w:numId w:val="2"/>
        </w:numPr>
      </w:pPr>
      <w:r>
        <w:rPr>
          <w:b/>
        </w:rPr>
        <w:t xml:space="preserve">Comunicación de </w:t>
      </w:r>
      <w:proofErr w:type="spellStart"/>
      <w:proofErr w:type="gramStart"/>
      <w:r>
        <w:rPr>
          <w:b/>
        </w:rPr>
        <w:t>Resultados:</w:t>
      </w:r>
      <w:r>
        <w:t>Los</w:t>
      </w:r>
      <w:proofErr w:type="spellEnd"/>
      <w:proofErr w:type="gramEnd"/>
      <w:r>
        <w:t xml:space="preserve"> hallazgos del análisis y el plan de acción se comunicarán a todos los empleados afectados y se presentarán en la próxima reunión del comité de seguridad.</w:t>
      </w:r>
    </w:p>
    <w:p w14:paraId="6F09B892" w14:textId="77777777" w:rsidR="00B12CF8" w:rsidRDefault="00000000">
      <w:pPr>
        <w:numPr>
          <w:ilvl w:val="0"/>
          <w:numId w:val="2"/>
        </w:numPr>
      </w:pPr>
      <w:r>
        <w:rPr>
          <w:b/>
        </w:rPr>
        <w:t xml:space="preserve">Registro en Base de </w:t>
      </w:r>
      <w:proofErr w:type="spellStart"/>
      <w:proofErr w:type="gramStart"/>
      <w:r>
        <w:rPr>
          <w:b/>
        </w:rPr>
        <w:t>Datos:</w:t>
      </w:r>
      <w:r>
        <w:t>Todos</w:t>
      </w:r>
      <w:proofErr w:type="spellEnd"/>
      <w:proofErr w:type="gramEnd"/>
      <w:r>
        <w:t xml:space="preserve"> los incidentes y las acciones tomadas se registrarán en la base de datos de incidentes para permitir un seguimiento y análisis continuos.</w:t>
      </w:r>
    </w:p>
    <w:p w14:paraId="62FAA41C" w14:textId="77777777" w:rsidR="00B12CF8" w:rsidRDefault="00000000">
      <w:pPr>
        <w:numPr>
          <w:ilvl w:val="0"/>
          <w:numId w:val="2"/>
        </w:numPr>
      </w:pPr>
      <w:r>
        <w:rPr>
          <w:b/>
        </w:rPr>
        <w:lastRenderedPageBreak/>
        <w:t xml:space="preserve">Seguimiento de </w:t>
      </w:r>
      <w:proofErr w:type="spellStart"/>
      <w:proofErr w:type="gramStart"/>
      <w:r>
        <w:rPr>
          <w:b/>
        </w:rPr>
        <w:t>Acciones:</w:t>
      </w:r>
      <w:r>
        <w:t>El</w:t>
      </w:r>
      <w:proofErr w:type="spellEnd"/>
      <w:proofErr w:type="gramEnd"/>
      <w:r>
        <w:t xml:space="preserve"> Departamento de Seguridad será responsable de hacer seguimiento a la implementación de las medidas correctivas y preventivas, estableciendo plazos y responsables.</w:t>
      </w:r>
    </w:p>
    <w:p w14:paraId="4476B5BD" w14:textId="77777777" w:rsidR="00B12CF8" w:rsidRDefault="00000000">
      <w:pPr>
        <w:numPr>
          <w:ilvl w:val="0"/>
          <w:numId w:val="2"/>
        </w:numPr>
      </w:pPr>
      <w:r>
        <w:rPr>
          <w:b/>
        </w:rPr>
        <w:t xml:space="preserve">Revisión de </w:t>
      </w:r>
      <w:proofErr w:type="spellStart"/>
      <w:proofErr w:type="gramStart"/>
      <w:r>
        <w:rPr>
          <w:b/>
        </w:rPr>
        <w:t>Procedimientos:</w:t>
      </w:r>
      <w:r>
        <w:t>Periodicamente</w:t>
      </w:r>
      <w:proofErr w:type="spellEnd"/>
      <w:proofErr w:type="gramEnd"/>
      <w:r>
        <w:t>, se revisarán los procedimientos y políticas de seguridad en función de los datos recopilados, para asegurar que continúen siendo efectivos.</w:t>
      </w:r>
    </w:p>
    <w:p w14:paraId="1926FF43" w14:textId="77777777" w:rsidR="00B12CF8" w:rsidRDefault="00000000">
      <w:pPr>
        <w:spacing w:before="200" w:after="200"/>
      </w:pPr>
      <w:r>
        <w:rPr>
          <w:b/>
        </w:rPr>
        <w:t>V. Vigencia</w:t>
      </w:r>
    </w:p>
    <w:p w14:paraId="081B5A86" w14:textId="77777777" w:rsidR="00B12CF8" w:rsidRDefault="00000000">
      <w:r>
        <w:t xml:space="preserve">Este documento </w:t>
      </w:r>
      <w:proofErr w:type="gramStart"/>
      <w:r>
        <w:t>entra en vigencia</w:t>
      </w:r>
      <w:proofErr w:type="gramEnd"/>
      <w:r>
        <w:t xml:space="preserve"> a partir de la fecha de edición y se revisará anualmente o cuando sea necesario.</w:t>
      </w:r>
    </w:p>
    <w:p w14:paraId="1C6C8E77" w14:textId="77777777" w:rsidR="00B12CF8" w:rsidRDefault="00000000">
      <w:pPr>
        <w:spacing w:before="200" w:after="200"/>
      </w:pPr>
      <w:r>
        <w:rPr>
          <w:b/>
        </w:rPr>
        <w:t>VI. Referencias Bibliográficas</w:t>
      </w:r>
    </w:p>
    <w:p w14:paraId="0BA21F29" w14:textId="77777777" w:rsidR="00B12CF8" w:rsidRDefault="00000000">
      <w:r>
        <w:t>Normas ISO 45001 sobre sistemas de gestión de seguridad y salud en el trabajo; Normativas OSHA para la prevención de riesgos laborales en la industria.</w:t>
      </w:r>
    </w:p>
    <w:p w14:paraId="659216A6" w14:textId="77777777" w:rsidR="00B12CF8" w:rsidRDefault="00000000">
      <w:pPr>
        <w:spacing w:before="200" w:after="200"/>
      </w:pPr>
      <w:r>
        <w:rPr>
          <w:b/>
        </w:rPr>
        <w:t>VII. Historial de cambio de Documentos</w:t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6"/>
        <w:gridCol w:w="988"/>
        <w:gridCol w:w="6034"/>
      </w:tblGrid>
      <w:tr w:rsidR="00B12CF8" w14:paraId="376AE00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07BC555" w14:textId="77777777" w:rsidR="00B12CF8" w:rsidRDefault="00000000">
            <w:r>
              <w:rPr>
                <w:b/>
              </w:rPr>
              <w:t>NÚMERO DE REVISIÓN</w:t>
            </w:r>
          </w:p>
        </w:tc>
        <w:tc>
          <w:tcPr>
            <w:tcW w:w="0" w:type="auto"/>
          </w:tcPr>
          <w:p w14:paraId="174E1E5B" w14:textId="77777777" w:rsidR="00B12CF8" w:rsidRDefault="00000000">
            <w:r>
              <w:rPr>
                <w:b/>
              </w:rPr>
              <w:t>FECHA</w:t>
            </w:r>
          </w:p>
        </w:tc>
        <w:tc>
          <w:tcPr>
            <w:tcW w:w="0" w:type="auto"/>
          </w:tcPr>
          <w:p w14:paraId="2AEF3FAF" w14:textId="77777777" w:rsidR="00B12CF8" w:rsidRDefault="00000000">
            <w:r>
              <w:rPr>
                <w:b/>
              </w:rPr>
              <w:t>DESCRIPCIÓN DEL CAMBIO</w:t>
            </w:r>
          </w:p>
        </w:tc>
      </w:tr>
      <w:tr w:rsidR="00B12CF8" w14:paraId="1C3095F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A2098DA" w14:textId="77777777" w:rsidR="00B12CF8" w:rsidRDefault="00000000">
            <w:r>
              <w:t>1</w:t>
            </w:r>
          </w:p>
        </w:tc>
        <w:tc>
          <w:tcPr>
            <w:tcW w:w="0" w:type="auto"/>
          </w:tcPr>
          <w:p w14:paraId="6F949ACA" w14:textId="77777777" w:rsidR="00B12CF8" w:rsidRDefault="00000000">
            <w:r>
              <w:t>2025-06-16</w:t>
            </w:r>
          </w:p>
        </w:tc>
        <w:tc>
          <w:tcPr>
            <w:tcW w:w="0" w:type="auto"/>
          </w:tcPr>
          <w:p w14:paraId="33032F0B" w14:textId="77777777" w:rsidR="00B12CF8" w:rsidRDefault="00000000">
            <w:r>
              <w:t>Creación del documento para establecer la guía de reporte y seguimiento de incidentes en la planta.</w:t>
            </w:r>
          </w:p>
        </w:tc>
      </w:tr>
    </w:tbl>
    <w:p w14:paraId="0EF6A7FC" w14:textId="77777777" w:rsidR="00B12CF8" w:rsidRDefault="00B12CF8"/>
    <w:p w14:paraId="2797344F" w14:textId="23D418B8" w:rsidR="00B12CF8" w:rsidRDefault="00C2723D">
      <w:pPr>
        <w:spacing w:before="200" w:after="200"/>
      </w:pPr>
      <w:r w:rsidRPr="00C2723D">
        <w:drawing>
          <wp:anchor distT="0" distB="0" distL="114300" distR="114300" simplePos="0" relativeHeight="251655680" behindDoc="0" locked="0" layoutInCell="1" allowOverlap="1" wp14:anchorId="065477AE" wp14:editId="46989FE5">
            <wp:simplePos x="0" y="0"/>
            <wp:positionH relativeFrom="column">
              <wp:posOffset>-391326</wp:posOffset>
            </wp:positionH>
            <wp:positionV relativeFrom="paragraph">
              <wp:posOffset>354330</wp:posOffset>
            </wp:positionV>
            <wp:extent cx="3276600" cy="1462405"/>
            <wp:effectExtent l="95250" t="285750" r="95250" b="271145"/>
            <wp:wrapSquare wrapText="bothSides"/>
            <wp:docPr id="1416448088" name="Imagen 5" descr="15 ideas de Firmas personales | firmas personales, letras para firmas,  ejemplos de fir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15 ideas de Firmas personales | firmas personales, letras para firmas,  ejemplos de firm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2619">
                      <a:off x="0" y="0"/>
                      <a:ext cx="3276600" cy="146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</w:rPr>
        <w:t>VIII. Firmas</w:t>
      </w:r>
    </w:p>
    <w:p w14:paraId="6EBE724B" w14:textId="29C38444" w:rsidR="00B12CF8" w:rsidRDefault="00C2723D">
      <w:r w:rsidRPr="00C2723D">
        <w:drawing>
          <wp:anchor distT="0" distB="0" distL="114300" distR="114300" simplePos="0" relativeHeight="251658752" behindDoc="0" locked="0" layoutInCell="1" allowOverlap="1" wp14:anchorId="0787F87D" wp14:editId="012CD074">
            <wp:simplePos x="0" y="0"/>
            <wp:positionH relativeFrom="column">
              <wp:posOffset>4044950</wp:posOffset>
            </wp:positionH>
            <wp:positionV relativeFrom="paragraph">
              <wp:posOffset>153035</wp:posOffset>
            </wp:positionV>
            <wp:extent cx="1828800" cy="838200"/>
            <wp:effectExtent l="57150" t="133350" r="38100" b="114300"/>
            <wp:wrapSquare wrapText="bothSides"/>
            <wp:docPr id="190418122" name="Imagen 6" descr="Firma digital: qué es y para qué sirve | Con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Firma digital: qué es y para qué sirve | Consum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486885">
                      <a:off x="0" y="0"/>
                      <a:ext cx="18288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F144C" w14:textId="7C2B720E" w:rsidR="00C2723D" w:rsidRPr="00C2723D" w:rsidRDefault="00C2723D" w:rsidP="00C2723D">
      <w:pPr>
        <w:rPr>
          <w:b/>
        </w:rPr>
      </w:pPr>
    </w:p>
    <w:p w14:paraId="32CA9D06" w14:textId="1D7DD870" w:rsidR="00C2723D" w:rsidRPr="00C2723D" w:rsidRDefault="00C2723D" w:rsidP="00C2723D">
      <w:pPr>
        <w:rPr>
          <w:b/>
        </w:rPr>
      </w:pPr>
    </w:p>
    <w:p w14:paraId="21F6BADC" w14:textId="7BA398C1" w:rsidR="00C2723D" w:rsidRPr="00C2723D" w:rsidRDefault="00C2723D" w:rsidP="00C2723D"/>
    <w:p w14:paraId="084A68E6" w14:textId="516098C3" w:rsidR="00C2723D" w:rsidRDefault="00023558">
      <w:r w:rsidRPr="00C2723D">
        <w:drawing>
          <wp:anchor distT="0" distB="0" distL="114300" distR="114300" simplePos="0" relativeHeight="251665408" behindDoc="0" locked="0" layoutInCell="1" allowOverlap="1" wp14:anchorId="01D1589F" wp14:editId="1912430E">
            <wp:simplePos x="0" y="0"/>
            <wp:positionH relativeFrom="column">
              <wp:posOffset>1961515</wp:posOffset>
            </wp:positionH>
            <wp:positionV relativeFrom="paragraph">
              <wp:posOffset>371475</wp:posOffset>
            </wp:positionV>
            <wp:extent cx="1734198" cy="924881"/>
            <wp:effectExtent l="76200" t="133350" r="75565" b="123190"/>
            <wp:wrapSquare wrapText="bothSides"/>
            <wp:docPr id="1138996737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7470">
                      <a:off x="0" y="0"/>
                      <a:ext cx="1734198" cy="924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723D"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998C9" w14:textId="77777777" w:rsidR="008C6A0E" w:rsidRDefault="008C6A0E">
      <w:pPr>
        <w:spacing w:after="0" w:line="240" w:lineRule="auto"/>
      </w:pPr>
      <w:r>
        <w:separator/>
      </w:r>
    </w:p>
  </w:endnote>
  <w:endnote w:type="continuationSeparator" w:id="0">
    <w:p w14:paraId="1914D707" w14:textId="77777777" w:rsidR="008C6A0E" w:rsidRDefault="008C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0376E" w14:textId="77777777" w:rsidR="00B12CF8" w:rsidRDefault="00000000">
    <w:pPr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95249" w14:textId="77777777" w:rsidR="008C6A0E" w:rsidRDefault="008C6A0E">
      <w:pPr>
        <w:spacing w:after="0" w:line="240" w:lineRule="auto"/>
      </w:pPr>
      <w:r>
        <w:separator/>
      </w:r>
    </w:p>
  </w:footnote>
  <w:footnote w:type="continuationSeparator" w:id="0">
    <w:p w14:paraId="54569955" w14:textId="77777777" w:rsidR="008C6A0E" w:rsidRDefault="008C6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F4A80"/>
    <w:multiLevelType w:val="multilevel"/>
    <w:tmpl w:val="9A9E4BB2"/>
    <w:lvl w:ilvl="0">
      <w:numFmt w:val="bullet"/>
      <w:lvlText w:val="◦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240118"/>
    <w:multiLevelType w:val="multilevel"/>
    <w:tmpl w:val="6620413E"/>
    <w:lvl w:ilvl="0"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33410264">
    <w:abstractNumId w:val="1"/>
  </w:num>
  <w:num w:numId="2" w16cid:durableId="119126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F8"/>
    <w:rsid w:val="00023558"/>
    <w:rsid w:val="0022343B"/>
    <w:rsid w:val="008C6A0E"/>
    <w:rsid w:val="00B12CF8"/>
    <w:rsid w:val="00C2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FA05"/>
  <w15:docId w15:val="{8E3086AA-84D2-493F-9BE6-7AB38F40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S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MINEDUCYT</dc:creator>
  <cp:lastModifiedBy>Andr�s Ottoniel Tobar Alfaro SS FT 21</cp:lastModifiedBy>
  <cp:revision>2</cp:revision>
  <dcterms:created xsi:type="dcterms:W3CDTF">2025-06-16T16:56:00Z</dcterms:created>
  <dcterms:modified xsi:type="dcterms:W3CDTF">2025-06-16T16:57:00Z</dcterms:modified>
</cp:coreProperties>
</file>