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8"/>
        <w:gridCol w:w="2083"/>
        <w:gridCol w:w="2394"/>
        <w:gridCol w:w="2133"/>
      </w:tblGrid>
      <w:tr w:rsidR="007D590D" w14:paraId="7FC1A1FA" w14:textId="77777777">
        <w:tc>
          <w:tcPr>
            <w:tcW w:w="3000" w:type="dxa"/>
            <w:vMerge w:val="restart"/>
          </w:tcPr>
          <w:p w14:paraId="492F2521" w14:textId="6ED9DC4C" w:rsidR="00DC35E3" w:rsidRPr="00DC35E3" w:rsidRDefault="00DC35E3" w:rsidP="00DC35E3">
            <w:r w:rsidRPr="00DC35E3">
              <w:drawing>
                <wp:anchor distT="0" distB="0" distL="114300" distR="114300" simplePos="0" relativeHeight="251665408" behindDoc="0" locked="0" layoutInCell="1" allowOverlap="1" wp14:anchorId="4DEE4739" wp14:editId="5AAB0B35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342900</wp:posOffset>
                  </wp:positionV>
                  <wp:extent cx="960120" cy="952500"/>
                  <wp:effectExtent l="0" t="0" r="0" b="0"/>
                  <wp:wrapSquare wrapText="bothSides"/>
                  <wp:docPr id="1946425195" name="Gráfico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154209" name="Gráfico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rcRect l="10998" t="37067" r="71083" b="362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95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155658B" w14:textId="49CB1CE4" w:rsidR="007D590D" w:rsidRDefault="007D590D"/>
        </w:tc>
        <w:tc>
          <w:tcPr>
            <w:tcW w:w="7000" w:type="dxa"/>
            <w:gridSpan w:val="2"/>
            <w:vMerge w:val="restart"/>
          </w:tcPr>
          <w:p w14:paraId="64254901" w14:textId="77777777" w:rsidR="007D590D" w:rsidRDefault="00000000">
            <w:r>
              <w:t>Proceso de Cierre Contable Mensual - División de Forja Aeroespacial</w:t>
            </w:r>
          </w:p>
        </w:tc>
        <w:tc>
          <w:tcPr>
            <w:tcW w:w="3000" w:type="dxa"/>
          </w:tcPr>
          <w:p w14:paraId="056E9E75" w14:textId="77777777" w:rsidR="007D590D" w:rsidRDefault="00000000">
            <w:r>
              <w:t>Página 0 de 0</w:t>
            </w:r>
          </w:p>
        </w:tc>
      </w:tr>
      <w:tr w:rsidR="007D590D" w14:paraId="77025D65" w14:textId="77777777">
        <w:tc>
          <w:tcPr>
            <w:tcW w:w="0" w:type="auto"/>
            <w:vMerge/>
          </w:tcPr>
          <w:p w14:paraId="426FEBDB" w14:textId="77777777" w:rsidR="002E026A" w:rsidRDefault="002E026A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</w:tcPr>
          <w:p w14:paraId="5AB80A19" w14:textId="77777777" w:rsidR="002E026A" w:rsidRDefault="002E026A">
            <w:pPr>
              <w:spacing w:after="0" w:line="240" w:lineRule="auto"/>
            </w:pPr>
          </w:p>
        </w:tc>
        <w:tc>
          <w:tcPr>
            <w:tcW w:w="3000" w:type="dxa"/>
          </w:tcPr>
          <w:p w14:paraId="61683D3E" w14:textId="77777777" w:rsidR="007D590D" w:rsidRDefault="00000000">
            <w:r>
              <w:t>Código: FAD-CC-2025-01</w:t>
            </w:r>
          </w:p>
        </w:tc>
      </w:tr>
      <w:tr w:rsidR="007D590D" w14:paraId="72FFCE14" w14:textId="77777777">
        <w:tc>
          <w:tcPr>
            <w:tcW w:w="0" w:type="auto"/>
            <w:vMerge/>
          </w:tcPr>
          <w:p w14:paraId="30C5DEC8" w14:textId="77777777" w:rsidR="002E026A" w:rsidRDefault="002E026A">
            <w:pPr>
              <w:spacing w:after="0" w:line="240" w:lineRule="auto"/>
            </w:pPr>
          </w:p>
        </w:tc>
        <w:tc>
          <w:tcPr>
            <w:tcW w:w="3000" w:type="dxa"/>
          </w:tcPr>
          <w:p w14:paraId="3200787F" w14:textId="77777777" w:rsidR="007D590D" w:rsidRDefault="00000000">
            <w:r>
              <w:t>Fecha Edición: 16/06/2025</w:t>
            </w:r>
          </w:p>
        </w:tc>
        <w:tc>
          <w:tcPr>
            <w:tcW w:w="3000" w:type="dxa"/>
          </w:tcPr>
          <w:p w14:paraId="571B71CF" w14:textId="77777777" w:rsidR="007D590D" w:rsidRDefault="00000000">
            <w:r>
              <w:t>Versión: 1.0</w:t>
            </w:r>
          </w:p>
        </w:tc>
        <w:tc>
          <w:tcPr>
            <w:tcW w:w="3000" w:type="dxa"/>
          </w:tcPr>
          <w:p w14:paraId="52E9EB96" w14:textId="77777777" w:rsidR="007D590D" w:rsidRDefault="00000000">
            <w:r>
              <w:t>Fecha de Divulgación:</w:t>
            </w:r>
          </w:p>
        </w:tc>
      </w:tr>
      <w:tr w:rsidR="007D590D" w14:paraId="1DEFAAB8" w14:textId="77777777">
        <w:tc>
          <w:tcPr>
            <w:tcW w:w="3000" w:type="dxa"/>
          </w:tcPr>
          <w:p w14:paraId="5A91C761" w14:textId="77777777" w:rsidR="007D590D" w:rsidRDefault="00000000">
            <w:r>
              <w:t>Elaboró: Carlos Méndez, Contador Senior</w:t>
            </w:r>
          </w:p>
        </w:tc>
        <w:tc>
          <w:tcPr>
            <w:tcW w:w="6000" w:type="dxa"/>
            <w:gridSpan w:val="2"/>
          </w:tcPr>
          <w:p w14:paraId="259AC6A8" w14:textId="77777777" w:rsidR="007D590D" w:rsidRDefault="00000000">
            <w:r>
              <w:t>Revisó: Verónica Salas, Gerente Financiera</w:t>
            </w:r>
          </w:p>
        </w:tc>
        <w:tc>
          <w:tcPr>
            <w:tcW w:w="3000" w:type="dxa"/>
          </w:tcPr>
          <w:p w14:paraId="3DC3DC85" w14:textId="77777777" w:rsidR="007D590D" w:rsidRDefault="00000000">
            <w:r>
              <w:t>Autorizó: string</w:t>
            </w:r>
          </w:p>
        </w:tc>
      </w:tr>
    </w:tbl>
    <w:p w14:paraId="0E750480" w14:textId="77777777" w:rsidR="007D590D" w:rsidRDefault="007D590D"/>
    <w:p w14:paraId="3A3A6A0F" w14:textId="77777777" w:rsidR="007D590D" w:rsidRDefault="00000000">
      <w:pPr>
        <w:spacing w:before="200" w:after="200"/>
      </w:pPr>
      <w:r>
        <w:rPr>
          <w:b/>
        </w:rPr>
        <w:t>I. Objetivo</w:t>
      </w:r>
    </w:p>
    <w:p w14:paraId="6E0386D5" w14:textId="77777777" w:rsidR="007D590D" w:rsidRDefault="00000000">
      <w:r>
        <w:t>Establecer un procedimiento claro y eficiente para llevar a cabo el cierre contable mensual de la división de forja aeroespacial, asegurando la correcta gestión y registro de todas las transacciones financieras, y garantizando la presentación de informes precisos para la toma de decisiones.</w:t>
      </w:r>
    </w:p>
    <w:p w14:paraId="18587ADD" w14:textId="77777777" w:rsidR="007D590D" w:rsidRDefault="00000000">
      <w:pPr>
        <w:spacing w:before="200" w:after="200"/>
      </w:pPr>
      <w:r>
        <w:rPr>
          <w:b/>
        </w:rPr>
        <w:t>II. Alcance</w:t>
      </w:r>
    </w:p>
    <w:p w14:paraId="156E2FE7" w14:textId="77777777" w:rsidR="007D590D" w:rsidRDefault="00000000">
      <w:r>
        <w:t>Este procedimiento aplica a todas las operaciones financieras de la división de forja aeroespacial, incluyendo la captura de ingresos, gastos, activos y pasivos. Cubrirá todas las etapas del cierre contable mensual, desde la recopilación de datos hasta la elaboración de estados financieros, y estará dirigido a los equipos de contabilidad y finanzas de la empresa.</w:t>
      </w:r>
    </w:p>
    <w:p w14:paraId="3F306C90" w14:textId="77777777" w:rsidR="007D590D" w:rsidRDefault="00000000">
      <w:pPr>
        <w:spacing w:before="200" w:after="200"/>
      </w:pPr>
      <w:r>
        <w:rPr>
          <w:b/>
        </w:rPr>
        <w:t>III. Responsabilidades</w:t>
      </w:r>
    </w:p>
    <w:p w14:paraId="3FC19A44" w14:textId="77777777" w:rsidR="007D590D" w:rsidRDefault="00000000">
      <w:pPr>
        <w:numPr>
          <w:ilvl w:val="0"/>
          <w:numId w:val="1"/>
        </w:numPr>
      </w:pPr>
      <w:r>
        <w:rPr>
          <w:b/>
        </w:rPr>
        <w:t xml:space="preserve">Contador </w:t>
      </w:r>
      <w:proofErr w:type="spellStart"/>
      <w:proofErr w:type="gramStart"/>
      <w:r>
        <w:rPr>
          <w:b/>
        </w:rPr>
        <w:t>encargado:</w:t>
      </w:r>
      <w:r>
        <w:t>Liderar</w:t>
      </w:r>
      <w:proofErr w:type="spellEnd"/>
      <w:proofErr w:type="gramEnd"/>
      <w:r>
        <w:t xml:space="preserve"> el proceso de cierre contable mensual, asegurando la revisión de todas las transacciones registradas y la corrección de cualquier discrepancia.</w:t>
      </w:r>
    </w:p>
    <w:p w14:paraId="01480743" w14:textId="77777777" w:rsidR="007D590D" w:rsidRDefault="00000000">
      <w:pPr>
        <w:numPr>
          <w:ilvl w:val="0"/>
          <w:numId w:val="1"/>
        </w:numPr>
      </w:pPr>
      <w:r>
        <w:rPr>
          <w:b/>
        </w:rPr>
        <w:t xml:space="preserve">Analista </w:t>
      </w:r>
      <w:proofErr w:type="spellStart"/>
      <w:proofErr w:type="gramStart"/>
      <w:r>
        <w:rPr>
          <w:b/>
        </w:rPr>
        <w:t>Financiero:</w:t>
      </w:r>
      <w:r>
        <w:t>Proporcionar</w:t>
      </w:r>
      <w:proofErr w:type="spellEnd"/>
      <w:proofErr w:type="gramEnd"/>
      <w:r>
        <w:t xml:space="preserve"> apoyo en la elaboración de los reportes financieros mensuales y análisis de variaciones en comparación con presupuestos y periodos anteriores.</w:t>
      </w:r>
    </w:p>
    <w:p w14:paraId="434B3FAD" w14:textId="77777777" w:rsidR="007D590D" w:rsidRDefault="00000000">
      <w:pPr>
        <w:numPr>
          <w:ilvl w:val="0"/>
          <w:numId w:val="1"/>
        </w:numPr>
      </w:pPr>
      <w:r>
        <w:rPr>
          <w:b/>
        </w:rPr>
        <w:t xml:space="preserve">Gerente de </w:t>
      </w:r>
      <w:proofErr w:type="spellStart"/>
      <w:proofErr w:type="gramStart"/>
      <w:r>
        <w:rPr>
          <w:b/>
        </w:rPr>
        <w:t>Finanzas:</w:t>
      </w:r>
      <w:r>
        <w:t>Aprobar</w:t>
      </w:r>
      <w:proofErr w:type="spellEnd"/>
      <w:proofErr w:type="gramEnd"/>
      <w:r>
        <w:t xml:space="preserve"> los informes financieros finales y asegurar que se cumplan todos los plazos y requerimientos normativos.</w:t>
      </w:r>
    </w:p>
    <w:p w14:paraId="38D69B61" w14:textId="77777777" w:rsidR="007D590D" w:rsidRDefault="00000000">
      <w:pPr>
        <w:numPr>
          <w:ilvl w:val="0"/>
          <w:numId w:val="1"/>
        </w:numPr>
      </w:pPr>
      <w:r>
        <w:rPr>
          <w:b/>
        </w:rPr>
        <w:lastRenderedPageBreak/>
        <w:t xml:space="preserve">Asistente </w:t>
      </w:r>
      <w:proofErr w:type="spellStart"/>
      <w:proofErr w:type="gramStart"/>
      <w:r>
        <w:rPr>
          <w:b/>
        </w:rPr>
        <w:t>Contable:</w:t>
      </w:r>
      <w:r>
        <w:t>Recopilar</w:t>
      </w:r>
      <w:proofErr w:type="spellEnd"/>
      <w:proofErr w:type="gramEnd"/>
      <w:r>
        <w:t xml:space="preserve"> y organizar toda la documentación necesaria para el cierre contable, incluyendo facturas, recibos y comprobantes de gastos.</w:t>
      </w:r>
    </w:p>
    <w:p w14:paraId="1C139AC7" w14:textId="77777777" w:rsidR="007D590D" w:rsidRDefault="00000000">
      <w:pPr>
        <w:numPr>
          <w:ilvl w:val="0"/>
          <w:numId w:val="1"/>
        </w:numPr>
      </w:pPr>
      <w:r>
        <w:rPr>
          <w:b/>
        </w:rPr>
        <w:t xml:space="preserve">Supervisor de </w:t>
      </w:r>
      <w:proofErr w:type="spellStart"/>
      <w:proofErr w:type="gramStart"/>
      <w:r>
        <w:rPr>
          <w:b/>
        </w:rPr>
        <w:t>Producción:</w:t>
      </w:r>
      <w:r>
        <w:t>Proporcionar</w:t>
      </w:r>
      <w:proofErr w:type="spellEnd"/>
      <w:proofErr w:type="gramEnd"/>
      <w:r>
        <w:t xml:space="preserve"> información precisa sobre los costos de producción y cualquier ajuste necesario en los inventarios.</w:t>
      </w:r>
    </w:p>
    <w:p w14:paraId="37258329" w14:textId="77777777" w:rsidR="007D590D" w:rsidRDefault="00000000">
      <w:pPr>
        <w:numPr>
          <w:ilvl w:val="0"/>
          <w:numId w:val="1"/>
        </w:numPr>
      </w:pPr>
      <w:r>
        <w:rPr>
          <w:b/>
        </w:rPr>
        <w:t xml:space="preserve">Auditor </w:t>
      </w:r>
      <w:proofErr w:type="spellStart"/>
      <w:proofErr w:type="gramStart"/>
      <w:r>
        <w:rPr>
          <w:b/>
        </w:rPr>
        <w:t>Interno:</w:t>
      </w:r>
      <w:r>
        <w:t>Realizar</w:t>
      </w:r>
      <w:proofErr w:type="spellEnd"/>
      <w:proofErr w:type="gramEnd"/>
      <w:r>
        <w:t xml:space="preserve"> revisiones de los estados financieros y del proceso de cierre contable para asegurar la integridad y exactitud de los datos.</w:t>
      </w:r>
    </w:p>
    <w:p w14:paraId="35257E95" w14:textId="77777777" w:rsidR="007D590D" w:rsidRDefault="00000000">
      <w:pPr>
        <w:numPr>
          <w:ilvl w:val="0"/>
          <w:numId w:val="1"/>
        </w:numPr>
      </w:pPr>
      <w:r>
        <w:rPr>
          <w:b/>
        </w:rPr>
        <w:t xml:space="preserve">Equipo de </w:t>
      </w:r>
      <w:proofErr w:type="spellStart"/>
      <w:proofErr w:type="gramStart"/>
      <w:r>
        <w:rPr>
          <w:b/>
        </w:rPr>
        <w:t>TI:</w:t>
      </w:r>
      <w:r>
        <w:t>Asegurar</w:t>
      </w:r>
      <w:proofErr w:type="spellEnd"/>
      <w:proofErr w:type="gramEnd"/>
      <w:r>
        <w:t xml:space="preserve"> que todos los sistemas contables estén operativos y actualizados, y proporcionar soporte técnico durante el cierre.</w:t>
      </w:r>
    </w:p>
    <w:p w14:paraId="7A75E6ED" w14:textId="77777777" w:rsidR="007D590D" w:rsidRDefault="00000000">
      <w:pPr>
        <w:numPr>
          <w:ilvl w:val="0"/>
          <w:numId w:val="1"/>
        </w:numPr>
      </w:pPr>
      <w:r>
        <w:rPr>
          <w:b/>
        </w:rPr>
        <w:t xml:space="preserve">Responsable de Recursos </w:t>
      </w:r>
      <w:proofErr w:type="spellStart"/>
      <w:proofErr w:type="gramStart"/>
      <w:r>
        <w:rPr>
          <w:b/>
        </w:rPr>
        <w:t>Humanos:</w:t>
      </w:r>
      <w:r>
        <w:t>Confirmar</w:t>
      </w:r>
      <w:proofErr w:type="spellEnd"/>
      <w:proofErr w:type="gramEnd"/>
      <w:r>
        <w:t xml:space="preserve"> y realizar la conciliación de las nóminas y beneficios de los empleados que afectan al cierre contable.</w:t>
      </w:r>
    </w:p>
    <w:p w14:paraId="18291945" w14:textId="77777777" w:rsidR="007D590D" w:rsidRDefault="00000000">
      <w:pPr>
        <w:numPr>
          <w:ilvl w:val="0"/>
          <w:numId w:val="1"/>
        </w:numPr>
      </w:pPr>
      <w:r>
        <w:rPr>
          <w:b/>
        </w:rPr>
        <w:t xml:space="preserve">Asesor </w:t>
      </w:r>
      <w:proofErr w:type="spellStart"/>
      <w:proofErr w:type="gramStart"/>
      <w:r>
        <w:rPr>
          <w:b/>
        </w:rPr>
        <w:t>Legal:</w:t>
      </w:r>
      <w:r>
        <w:t>Revisar</w:t>
      </w:r>
      <w:proofErr w:type="spellEnd"/>
      <w:proofErr w:type="gramEnd"/>
      <w:r>
        <w:t xml:space="preserve"> los aspectos normativos y legales asociados a las transacciones contables para asegurar cumplimiento.</w:t>
      </w:r>
    </w:p>
    <w:p w14:paraId="7BBB399D" w14:textId="77777777" w:rsidR="007D590D" w:rsidRDefault="00000000">
      <w:pPr>
        <w:spacing w:before="200" w:after="200"/>
      </w:pPr>
      <w:r>
        <w:rPr>
          <w:b/>
        </w:rPr>
        <w:t>IV. Desarrollo</w:t>
      </w:r>
    </w:p>
    <w:p w14:paraId="589E3C29" w14:textId="77777777" w:rsidR="007D590D" w:rsidRDefault="00000000">
      <w:pPr>
        <w:numPr>
          <w:ilvl w:val="0"/>
          <w:numId w:val="2"/>
        </w:numPr>
      </w:pPr>
      <w:r>
        <w:rPr>
          <w:b/>
        </w:rPr>
        <w:t xml:space="preserve">Preparación de la </w:t>
      </w:r>
      <w:proofErr w:type="spellStart"/>
      <w:proofErr w:type="gramStart"/>
      <w:r>
        <w:rPr>
          <w:b/>
        </w:rPr>
        <w:t>documentación:</w:t>
      </w:r>
      <w:r>
        <w:t>Compilar</w:t>
      </w:r>
      <w:proofErr w:type="spellEnd"/>
      <w:proofErr w:type="gramEnd"/>
      <w:r>
        <w:t xml:space="preserve"> todas las facturas, recibos y reportes de gastos del mes, asegurando que toda la información necesaria esté disponible para su revisión y registro.</w:t>
      </w:r>
    </w:p>
    <w:p w14:paraId="4976E21C" w14:textId="77777777" w:rsidR="007D590D" w:rsidRDefault="00000000">
      <w:pPr>
        <w:numPr>
          <w:ilvl w:val="0"/>
          <w:numId w:val="2"/>
        </w:numPr>
      </w:pPr>
      <w:r>
        <w:rPr>
          <w:b/>
        </w:rPr>
        <w:t xml:space="preserve">Ingreso de datos en el sistema </w:t>
      </w:r>
      <w:proofErr w:type="spellStart"/>
      <w:proofErr w:type="gramStart"/>
      <w:r>
        <w:rPr>
          <w:b/>
        </w:rPr>
        <w:t>contable:</w:t>
      </w:r>
      <w:r>
        <w:t>Registrar</w:t>
      </w:r>
      <w:proofErr w:type="spellEnd"/>
      <w:proofErr w:type="gramEnd"/>
      <w:r>
        <w:t xml:space="preserve"> todas las transacciones del mes en el software de contabilidad, validando que cada ingreso esté documentado correctamente.</w:t>
      </w:r>
    </w:p>
    <w:p w14:paraId="70CD379E" w14:textId="77777777" w:rsidR="007D590D" w:rsidRDefault="00000000">
      <w:pPr>
        <w:numPr>
          <w:ilvl w:val="0"/>
          <w:numId w:val="2"/>
        </w:numPr>
      </w:pPr>
      <w:r>
        <w:rPr>
          <w:b/>
        </w:rPr>
        <w:t xml:space="preserve">Conciliación de </w:t>
      </w:r>
      <w:proofErr w:type="spellStart"/>
      <w:proofErr w:type="gramStart"/>
      <w:r>
        <w:rPr>
          <w:b/>
        </w:rPr>
        <w:t>cuentas:</w:t>
      </w:r>
      <w:r>
        <w:t>Realizar</w:t>
      </w:r>
      <w:proofErr w:type="spellEnd"/>
      <w:proofErr w:type="gramEnd"/>
      <w:r>
        <w:t xml:space="preserve"> una conciliación entre los registros contables internos y los extractos bancarios para confirmar la exactitud de todos los saldos.</w:t>
      </w:r>
    </w:p>
    <w:p w14:paraId="0BDB9460" w14:textId="77777777" w:rsidR="007D590D" w:rsidRDefault="00000000">
      <w:pPr>
        <w:numPr>
          <w:ilvl w:val="0"/>
          <w:numId w:val="2"/>
        </w:numPr>
      </w:pPr>
      <w:r>
        <w:rPr>
          <w:b/>
        </w:rPr>
        <w:t xml:space="preserve">Ajustes </w:t>
      </w:r>
      <w:proofErr w:type="spellStart"/>
      <w:proofErr w:type="gramStart"/>
      <w:r>
        <w:rPr>
          <w:b/>
        </w:rPr>
        <w:t>contables:</w:t>
      </w:r>
      <w:r>
        <w:t>Identificar</w:t>
      </w:r>
      <w:proofErr w:type="spellEnd"/>
      <w:proofErr w:type="gramEnd"/>
      <w:r>
        <w:t xml:space="preserve"> y realizar cualquier ajuste necesario en las cuentas contables, incluyendo depreciación, provisiones y ajustes por errores previos.</w:t>
      </w:r>
    </w:p>
    <w:p w14:paraId="01D7D09D" w14:textId="77777777" w:rsidR="007D590D" w:rsidRDefault="00000000">
      <w:pPr>
        <w:numPr>
          <w:ilvl w:val="0"/>
          <w:numId w:val="2"/>
        </w:numPr>
      </w:pPr>
      <w:r>
        <w:rPr>
          <w:b/>
        </w:rPr>
        <w:t xml:space="preserve">Elaboración de informes </w:t>
      </w:r>
      <w:proofErr w:type="spellStart"/>
      <w:proofErr w:type="gramStart"/>
      <w:r>
        <w:rPr>
          <w:b/>
        </w:rPr>
        <w:t>financieros:</w:t>
      </w:r>
      <w:r>
        <w:t>Generar</w:t>
      </w:r>
      <w:proofErr w:type="spellEnd"/>
      <w:proofErr w:type="gramEnd"/>
      <w:r>
        <w:t xml:space="preserve"> los reportes financieros requeridos, tales como el balance general, estado de resultados y flujo de efectivo, reflejando fielmente la situación financiera de la división.</w:t>
      </w:r>
    </w:p>
    <w:p w14:paraId="4F6AD12E" w14:textId="77777777" w:rsidR="007D590D" w:rsidRDefault="00000000">
      <w:pPr>
        <w:numPr>
          <w:ilvl w:val="0"/>
          <w:numId w:val="2"/>
        </w:numPr>
      </w:pPr>
      <w:r>
        <w:rPr>
          <w:b/>
        </w:rPr>
        <w:t xml:space="preserve">Análisis de </w:t>
      </w:r>
      <w:proofErr w:type="spellStart"/>
      <w:proofErr w:type="gramStart"/>
      <w:r>
        <w:rPr>
          <w:b/>
        </w:rPr>
        <w:t>variaciones:</w:t>
      </w:r>
      <w:r>
        <w:t>Comparar</w:t>
      </w:r>
      <w:proofErr w:type="spellEnd"/>
      <w:proofErr w:type="gramEnd"/>
      <w:r>
        <w:t xml:space="preserve"> los resultados financieros con los presupuestos y periodos anteriores, analizando las variaciones significativas y preparando explicaciones correspondientes.</w:t>
      </w:r>
    </w:p>
    <w:p w14:paraId="4FE7A9C1" w14:textId="77777777" w:rsidR="007D590D" w:rsidRDefault="00000000">
      <w:pPr>
        <w:numPr>
          <w:ilvl w:val="0"/>
          <w:numId w:val="2"/>
        </w:numPr>
      </w:pPr>
      <w:r>
        <w:rPr>
          <w:b/>
        </w:rPr>
        <w:lastRenderedPageBreak/>
        <w:t xml:space="preserve">Revisiones </w:t>
      </w:r>
      <w:proofErr w:type="spellStart"/>
      <w:proofErr w:type="gramStart"/>
      <w:r>
        <w:rPr>
          <w:b/>
        </w:rPr>
        <w:t>internas:</w:t>
      </w:r>
      <w:r>
        <w:t>El</w:t>
      </w:r>
      <w:proofErr w:type="spellEnd"/>
      <w:proofErr w:type="gramEnd"/>
      <w:r>
        <w:t xml:space="preserve"> contador encargado y el auditor interno deberán realizar una revisión exhaustiva de todos los informes y cálculos para asegurar la precisión de los datos antes de su aprobación.</w:t>
      </w:r>
    </w:p>
    <w:p w14:paraId="05682C01" w14:textId="77777777" w:rsidR="007D590D" w:rsidRDefault="00000000">
      <w:pPr>
        <w:numPr>
          <w:ilvl w:val="0"/>
          <w:numId w:val="2"/>
        </w:numPr>
      </w:pPr>
      <w:r>
        <w:rPr>
          <w:b/>
        </w:rPr>
        <w:t xml:space="preserve">Presentación de </w:t>
      </w:r>
      <w:proofErr w:type="spellStart"/>
      <w:proofErr w:type="gramStart"/>
      <w:r>
        <w:rPr>
          <w:b/>
        </w:rPr>
        <w:t>informes:</w:t>
      </w:r>
      <w:r>
        <w:t>Enviar</w:t>
      </w:r>
      <w:proofErr w:type="spellEnd"/>
      <w:proofErr w:type="gramEnd"/>
      <w:r>
        <w:t xml:space="preserve"> los informes financieros formulados a la gerencia y otros interesados, asegurando que cada receptor tenga acceso a la información necesaria para la toma de decisiones.</w:t>
      </w:r>
    </w:p>
    <w:p w14:paraId="086CE281" w14:textId="77777777" w:rsidR="007D590D" w:rsidRDefault="00000000">
      <w:pPr>
        <w:numPr>
          <w:ilvl w:val="0"/>
          <w:numId w:val="2"/>
        </w:numPr>
      </w:pPr>
      <w:r>
        <w:rPr>
          <w:b/>
        </w:rPr>
        <w:t xml:space="preserve">Cierre en el sistema </w:t>
      </w:r>
      <w:proofErr w:type="spellStart"/>
      <w:proofErr w:type="gramStart"/>
      <w:r>
        <w:rPr>
          <w:b/>
        </w:rPr>
        <w:t>contable:</w:t>
      </w:r>
      <w:r>
        <w:t>Proceder</w:t>
      </w:r>
      <w:proofErr w:type="spellEnd"/>
      <w:proofErr w:type="gramEnd"/>
      <w:r>
        <w:t xml:space="preserve"> al cierre formal del mes en el sistema contable, bloqueando cualquier transacción posterior al periodo cerrado.</w:t>
      </w:r>
    </w:p>
    <w:p w14:paraId="543A34EC" w14:textId="77777777" w:rsidR="007D590D" w:rsidRDefault="00000000">
      <w:pPr>
        <w:spacing w:before="200" w:after="200"/>
      </w:pPr>
      <w:r>
        <w:rPr>
          <w:b/>
        </w:rPr>
        <w:t>V. Vigencia</w:t>
      </w:r>
    </w:p>
    <w:p w14:paraId="580D1534" w14:textId="77777777" w:rsidR="007D590D" w:rsidRDefault="00000000">
      <w:r>
        <w:t>Este documento es válido a partir de la fecha de edición y se revisará anualmente para asegurar su adecuación a las prácticas contables actuales.</w:t>
      </w:r>
    </w:p>
    <w:p w14:paraId="08F35312" w14:textId="77777777" w:rsidR="007D590D" w:rsidRDefault="00000000">
      <w:pPr>
        <w:spacing w:before="200" w:after="200"/>
      </w:pPr>
      <w:r>
        <w:rPr>
          <w:b/>
        </w:rPr>
        <w:t>VI. Referencias Bibliográficas</w:t>
      </w:r>
    </w:p>
    <w:p w14:paraId="79C69195" w14:textId="77777777" w:rsidR="007D590D" w:rsidRDefault="00000000">
      <w:r>
        <w:t>Normas Internacionales de Información Financiera (NIIF), Manual de Procedimientos Contables de la empresa y Legislación Fiscal vigente.</w:t>
      </w:r>
    </w:p>
    <w:p w14:paraId="51CBFC3C" w14:textId="77777777" w:rsidR="007D590D" w:rsidRDefault="00000000">
      <w:pPr>
        <w:spacing w:before="200" w:after="200"/>
      </w:pPr>
      <w:r>
        <w:rPr>
          <w:b/>
        </w:rPr>
        <w:t>VII. Historial de cambio de Documentos</w:t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1040"/>
        <w:gridCol w:w="5833"/>
      </w:tblGrid>
      <w:tr w:rsidR="007D590D" w14:paraId="0A1DB335" w14:textId="77777777">
        <w:tc>
          <w:tcPr>
            <w:tcW w:w="0" w:type="auto"/>
          </w:tcPr>
          <w:p w14:paraId="1998746C" w14:textId="77777777" w:rsidR="007D590D" w:rsidRDefault="00000000">
            <w:r>
              <w:rPr>
                <w:b/>
              </w:rPr>
              <w:t>NÚMERO DE REVISIÓN</w:t>
            </w:r>
          </w:p>
        </w:tc>
        <w:tc>
          <w:tcPr>
            <w:tcW w:w="0" w:type="auto"/>
          </w:tcPr>
          <w:p w14:paraId="08B718EC" w14:textId="77777777" w:rsidR="007D590D" w:rsidRDefault="00000000">
            <w:r>
              <w:rPr>
                <w:b/>
              </w:rPr>
              <w:t>FECHA</w:t>
            </w:r>
          </w:p>
        </w:tc>
        <w:tc>
          <w:tcPr>
            <w:tcW w:w="0" w:type="auto"/>
          </w:tcPr>
          <w:p w14:paraId="7343C65C" w14:textId="77777777" w:rsidR="007D590D" w:rsidRDefault="00000000">
            <w:r>
              <w:rPr>
                <w:b/>
              </w:rPr>
              <w:t>DESCRIPCIÓN DEL CAMBIO</w:t>
            </w:r>
          </w:p>
        </w:tc>
      </w:tr>
      <w:tr w:rsidR="007D590D" w14:paraId="1466F5A1" w14:textId="77777777">
        <w:tc>
          <w:tcPr>
            <w:tcW w:w="0" w:type="auto"/>
          </w:tcPr>
          <w:p w14:paraId="3070AE6E" w14:textId="77777777" w:rsidR="007D590D" w:rsidRDefault="00000000">
            <w:r>
              <w:t>1</w:t>
            </w:r>
          </w:p>
        </w:tc>
        <w:tc>
          <w:tcPr>
            <w:tcW w:w="0" w:type="auto"/>
          </w:tcPr>
          <w:p w14:paraId="6DE071F2" w14:textId="77777777" w:rsidR="007D590D" w:rsidRDefault="00000000">
            <w:r>
              <w:t>2025-06-16</w:t>
            </w:r>
          </w:p>
        </w:tc>
        <w:tc>
          <w:tcPr>
            <w:tcW w:w="0" w:type="auto"/>
          </w:tcPr>
          <w:p w14:paraId="568055C3" w14:textId="77777777" w:rsidR="007D590D" w:rsidRDefault="00000000">
            <w:r>
              <w:t>Creación del documento para formalizar el proceso de cierre contable mensual.</w:t>
            </w:r>
          </w:p>
        </w:tc>
      </w:tr>
    </w:tbl>
    <w:p w14:paraId="4CE9E885" w14:textId="77777777" w:rsidR="007D590D" w:rsidRDefault="007D590D"/>
    <w:p w14:paraId="448A17A6" w14:textId="2881C376" w:rsidR="007D590D" w:rsidRDefault="00F2601E">
      <w:pPr>
        <w:spacing w:before="200" w:after="200"/>
      </w:pPr>
      <w:r w:rsidRPr="00F2601E">
        <w:rPr>
          <w:noProof/>
        </w:rPr>
        <w:drawing>
          <wp:anchor distT="0" distB="0" distL="114300" distR="114300" simplePos="0" relativeHeight="251661312" behindDoc="0" locked="0" layoutInCell="1" allowOverlap="1" wp14:anchorId="5071C143" wp14:editId="14FDB7CB">
            <wp:simplePos x="0" y="0"/>
            <wp:positionH relativeFrom="column">
              <wp:posOffset>3993515</wp:posOffset>
            </wp:positionH>
            <wp:positionV relativeFrom="paragraph">
              <wp:posOffset>297180</wp:posOffset>
            </wp:positionV>
            <wp:extent cx="1367790" cy="626745"/>
            <wp:effectExtent l="38100" t="95250" r="22860" b="78105"/>
            <wp:wrapSquare wrapText="bothSides"/>
            <wp:docPr id="2000337350" name="Imagen 12" descr="Firma digital: qué es y para qué sirve | Consu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Firma digital: qué es y para qué sirve | Consum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486885">
                      <a:off x="0" y="0"/>
                      <a:ext cx="1367790" cy="626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VIII. Firmas</w:t>
      </w:r>
    </w:p>
    <w:p w14:paraId="00BA1346" w14:textId="44F7D78A" w:rsidR="007D590D" w:rsidRDefault="00F2601E">
      <w:r w:rsidRPr="00F2601E">
        <w:rPr>
          <w:noProof/>
        </w:rPr>
        <w:drawing>
          <wp:anchor distT="0" distB="0" distL="114300" distR="114300" simplePos="0" relativeHeight="251663360" behindDoc="0" locked="0" layoutInCell="1" allowOverlap="1" wp14:anchorId="7D042821" wp14:editId="308152F5">
            <wp:simplePos x="0" y="0"/>
            <wp:positionH relativeFrom="column">
              <wp:posOffset>3034665</wp:posOffset>
            </wp:positionH>
            <wp:positionV relativeFrom="paragraph">
              <wp:posOffset>591819</wp:posOffset>
            </wp:positionV>
            <wp:extent cx="3001645" cy="1600835"/>
            <wp:effectExtent l="114300" t="209550" r="84455" b="189865"/>
            <wp:wrapSquare wrapText="bothSides"/>
            <wp:docPr id="1443663203" name="Imagen 10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97470">
                      <a:off x="0" y="0"/>
                      <a:ext cx="3001645" cy="1600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601E">
        <w:rPr>
          <w:noProof/>
        </w:rPr>
        <w:drawing>
          <wp:anchor distT="0" distB="0" distL="114300" distR="114300" simplePos="0" relativeHeight="251655168" behindDoc="0" locked="0" layoutInCell="1" allowOverlap="1" wp14:anchorId="371007B3" wp14:editId="78B04C18">
            <wp:simplePos x="0" y="0"/>
            <wp:positionH relativeFrom="column">
              <wp:posOffset>-264160</wp:posOffset>
            </wp:positionH>
            <wp:positionV relativeFrom="paragraph">
              <wp:posOffset>276225</wp:posOffset>
            </wp:positionV>
            <wp:extent cx="2931795" cy="1308100"/>
            <wp:effectExtent l="95250" t="266700" r="78105" b="234950"/>
            <wp:wrapSquare wrapText="bothSides"/>
            <wp:docPr id="1278078630" name="Imagen 11" descr="15 ideas de Firmas personales | firmas personales, letras para firmas,  ejemplos de fir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15 ideas de Firmas personales | firmas personales, letras para firmas,  ejemplos de firma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12619">
                      <a:off x="0" y="0"/>
                      <a:ext cx="2931795" cy="130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D24B0" w14:textId="6A4DC284" w:rsidR="00F2601E" w:rsidRDefault="00F2601E"/>
    <w:sectPr w:rsidR="00F2601E">
      <w:footerReference w:type="default" r:id="rId12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745A7" w14:textId="77777777" w:rsidR="002427A0" w:rsidRDefault="002427A0">
      <w:pPr>
        <w:spacing w:after="0" w:line="240" w:lineRule="auto"/>
      </w:pPr>
      <w:r>
        <w:separator/>
      </w:r>
    </w:p>
  </w:endnote>
  <w:endnote w:type="continuationSeparator" w:id="0">
    <w:p w14:paraId="6CB84290" w14:textId="77777777" w:rsidR="002427A0" w:rsidRDefault="00242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A6B05" w14:textId="77777777" w:rsidR="007D590D" w:rsidRDefault="00000000">
    <w:pPr>
      <w:jc w:val="center"/>
    </w:pPr>
    <w:r>
      <w:t xml:space="preserve">Página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85A8B" w14:textId="77777777" w:rsidR="002427A0" w:rsidRDefault="002427A0">
      <w:pPr>
        <w:spacing w:after="0" w:line="240" w:lineRule="auto"/>
      </w:pPr>
      <w:r>
        <w:separator/>
      </w:r>
    </w:p>
  </w:footnote>
  <w:footnote w:type="continuationSeparator" w:id="0">
    <w:p w14:paraId="246F6AB4" w14:textId="77777777" w:rsidR="002427A0" w:rsidRDefault="00242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203B70"/>
    <w:multiLevelType w:val="multilevel"/>
    <w:tmpl w:val="F8A456B8"/>
    <w:lvl w:ilvl="0">
      <w:numFmt w:val="bullet"/>
      <w:lvlText w:val="◦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46658D"/>
    <w:multiLevelType w:val="multilevel"/>
    <w:tmpl w:val="48F44D06"/>
    <w:lvl w:ilvl="0"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31003948">
    <w:abstractNumId w:val="1"/>
  </w:num>
  <w:num w:numId="2" w16cid:durableId="713700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90D"/>
    <w:rsid w:val="001A38E6"/>
    <w:rsid w:val="0022343B"/>
    <w:rsid w:val="002427A0"/>
    <w:rsid w:val="002E026A"/>
    <w:rsid w:val="007D590D"/>
    <w:rsid w:val="00DC35E3"/>
    <w:rsid w:val="00E5460B"/>
    <w:rsid w:val="00F2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5AB0D"/>
  <w15:docId w15:val="{8E3086AA-84D2-493F-9BE6-7AB38F40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SV" w:eastAsia="es-SV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691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Andr�s Ottoniel Tobar Alfaro SS FT 21</cp:lastModifiedBy>
  <cp:revision>3</cp:revision>
  <dcterms:created xsi:type="dcterms:W3CDTF">2025-06-16T14:25:00Z</dcterms:created>
  <dcterms:modified xsi:type="dcterms:W3CDTF">2025-06-16T14:34:00Z</dcterms:modified>
</cp:coreProperties>
</file>