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MicroNexus: Game Edukasi Tower Defense untuk Pembelajaran Resistensi Antimikroba melalui Pemodelan Efektivitas Antibiotik–Bakteri</w:t>
      </w:r>
    </w:p>
    <w:p>
      <w:pPr>
        <w:jc w:val="center"/>
      </w:pPr>
      <w:r>
        <w:rPr>
          <w:i/>
          <w:sz w:val="24"/>
        </w:rPr>
        <w:t>MicroNexus: A Tower Defense Educational Game for Learning Antimicrobial Resistance through Antibiotic–Bacteria Effectiveness Modelling</w:t>
      </w:r>
    </w:p>
    <w:p>
      <w:pPr>
        <w:jc w:val="center"/>
      </w:pPr>
      <w:r>
        <w:rPr>
          <w:highlight w:val="yellow"/>
        </w:rPr>
        <w:t>[Nama Penulis 1]</w:t>
      </w:r>
      <w:r>
        <w:t xml:space="preserve">, </w:t>
      </w:r>
      <w:r>
        <w:rPr>
          <w:highlight w:val="yellow"/>
        </w:rPr>
        <w:t>[Nama Dosen Pembimbing]</w:t>
      </w:r>
    </w:p>
    <w:p>
      <w:pPr>
        <w:jc w:val="center"/>
      </w:pPr>
      <w:r>
        <w:rPr>
          <w:highlight w:val="yellow"/>
        </w:rPr>
        <w:t>[Program Studi]</w:t>
      </w:r>
      <w:r>
        <w:t xml:space="preserve">, </w:t>
      </w:r>
      <w:r>
        <w:rPr>
          <w:highlight w:val="yellow"/>
        </w:rPr>
        <w:t>[Fakultas]</w:t>
      </w:r>
      <w:r>
        <w:t xml:space="preserve">, Universitas Islam Indonesia, </w:t>
      </w:r>
      <w:r>
        <w:rPr>
          <w:highlight w:val="yellow"/>
        </w:rPr>
        <w:t>[Kota]</w:t>
      </w:r>
    </w:p>
    <w:p>
      <w:pPr>
        <w:jc w:val="center"/>
      </w:pPr>
      <w:r>
        <w:t xml:space="preserve">Korespondensi: </w:t>
      </w:r>
      <w:r>
        <w:rPr>
          <w:highlight w:val="yellow"/>
        </w:rPr>
        <w:t>[email penulis]</w:t>
      </w:r>
    </w:p>
    <w:p>
      <w:pPr>
        <w:jc w:val="both"/>
      </w:pPr>
      <w:r>
        <w:rPr>
          <w:b/>
        </w:rPr>
        <w:t>Catatan untuk dosen/penulis:</w:t>
      </w:r>
      <w:r>
        <w:t xml:space="preserve"> bagian bertanda </w:t>
      </w:r>
      <w:r>
        <w:rPr>
          <w:highlight w:val="yellow"/>
        </w:rPr>
        <w:t>[kuning]</w:t>
      </w:r>
      <w:r>
        <w:t xml:space="preserve"> adalah data, keputusan, atau referensi yang belum tersedia di project dan harus diisi/diverifikasi sebelum submit. Tidak ada angka hasil evaluasi yang dikarang dalam draft ini. Template (jumlah halaman, gaya sitasi, bahasa) menunggu penentuan target jurnal/prosiding: </w:t>
      </w:r>
      <w:r>
        <w:rPr>
          <w:highlight w:val="yellow"/>
        </w:rPr>
        <w:t>[nama target publikasi]</w:t>
      </w:r>
      <w:r>
        <w:t>.</w:t>
      </w:r>
    </w:p>
    <w:p>
      <w:pPr>
        <w:pStyle w:val="Heading1"/>
      </w:pPr>
      <w:r>
        <w:t>Abstrak</w:t>
      </w:r>
    </w:p>
    <w:p>
      <w:pPr>
        <w:ind w:firstLine="425"/>
        <w:jc w:val="both"/>
      </w:pPr>
      <w:r>
        <w:t>Resistensi antimikroba (</w:t>
      </w:r>
      <w:r>
        <w:rPr>
          <w:i/>
        </w:rPr>
        <w:t>antimicrobial resistance</w:t>
      </w:r>
      <w:r>
        <w:t xml:space="preserve">, AMR) adalah ancaman kesehatan global, tetapi konsep dasarnya, yaitu bahwa tiap antibiotik hanya efektif terhadap kelompok bakteri tertentu dan bahwa efektivitas itu dapat hilang akibat resistensi, sulit dipahami dari materi teks. Penelitian ini mengembangkan MicroNexus, game edukasi bergenre </w:t>
      </w:r>
      <w:r>
        <w:rPr>
          <w:i/>
        </w:rPr>
        <w:t>tower defense</w:t>
      </w:r>
      <w:r>
        <w:t xml:space="preserve"> 2D berbasis Unity di mana pemain menempatkan antibiotik sebagai pertahanan melawan gelombang bakteri. Efektivitas setiap pasangan antibiotik–bakteri dimodelkan dalam matriks 14×14 berskala 0–20 yang disusun dari materi ajar dan rekomendasi klinis (CDC, WHO), sehingga memilih antibiotik yang salah menghasilkan damage rendah atau nol secara langsung terlihat oleh pemain. Setiap stage merepresentasikan satu kasus penyakit (mis. otitis media, pneumonia, ISK, gonore, infeksi VRE, infeksi CRAB), dilengkapi mode </w:t>
      </w:r>
      <w:r>
        <w:rPr>
          <w:i/>
        </w:rPr>
        <w:t>Endless</w:t>
      </w:r>
      <w:r>
        <w:t xml:space="preserve"> dengan skor dan papan peringkat. Prototipe saat ini mencakup </w:t>
      </w:r>
      <w:r>
        <w:rPr>
          <w:highlight w:val="yellow"/>
        </w:rPr>
        <w:t>[jumlah]</w:t>
      </w:r>
      <w:r>
        <w:t xml:space="preserve"> stage yang dapat dimainkan, 14 karakter antibiotik, dan 7 spesies bakteri aktif; tujuh bakteri tambahan sedang dalam produksi aset. Evaluasi </w:t>
      </w:r>
      <w:r>
        <w:rPr>
          <w:highlight w:val="yellow"/>
        </w:rPr>
        <w:t>[jenis evaluasi, mis. uji pengetahuan pre-post dan SUS]</w:t>
      </w:r>
      <w:r>
        <w:t xml:space="preserve"> terhadap </w:t>
      </w:r>
      <w:r>
        <w:rPr>
          <w:highlight w:val="yellow"/>
        </w:rPr>
        <w:t>[N]</w:t>
      </w:r>
      <w:r>
        <w:t xml:space="preserve"> responden menunjukkan </w:t>
      </w:r>
      <w:r>
        <w:rPr>
          <w:highlight w:val="yellow"/>
        </w:rPr>
        <w:t>[HASIL EVALUASI, belum ada data]</w:t>
      </w:r>
      <w:r>
        <w:t>.</w:t>
      </w:r>
    </w:p>
    <w:p>
      <w:pPr>
        <w:jc w:val="both"/>
      </w:pPr>
      <w:r>
        <w:rPr>
          <w:b/>
        </w:rPr>
        <w:t>Kata kunci:</w:t>
      </w:r>
      <w:r>
        <w:t xml:space="preserve"> game edukasi, tower defense, resistensi antimikroba, antibiotik, serious game, Unity.</w:t>
      </w:r>
    </w:p>
    <w:p>
      <w:pPr>
        <w:pStyle w:val="Heading1"/>
      </w:pPr>
      <w:r>
        <w:t>Abstract</w:t>
      </w:r>
    </w:p>
    <w:p>
      <w:pPr>
        <w:ind w:firstLine="425"/>
        <w:jc w:val="both"/>
      </w:pPr>
      <w:r>
        <w:t xml:space="preserve">Antimicrobial resistance (AMR) is a global health threat, yet its core idea, that each antibiotic is effective only against specific bacteria and that this effectiveness can be lost through resistance, is hard to grasp from text alone. This study presents MicroNexus, a 2D tower defense educational game built in Unity in which players deploy antibiotics against waves of bacteria. Each antibiotic–bacteria pair is modelled in a 14×14 effectiveness matrix (0–20 scale) compiled from teaching materials and clinical guidance (CDC, WHO), so that choosing the wrong antibiotic produces visibly low or zero damage. Each stage represents one disease case, complemented by an Endless mode with scoring and a leaderboard. The current prototype provides </w:t>
      </w:r>
      <w:r>
        <w:rPr>
          <w:highlight w:val="yellow"/>
        </w:rPr>
        <w:t>[number]</w:t>
      </w:r>
      <w:r>
        <w:t xml:space="preserve"> playable stages, 14 antibiotic characters and 7 active bacterial species; seven additional bacteria are in asset production. An evaluation </w:t>
      </w:r>
      <w:r>
        <w:rPr>
          <w:highlight w:val="yellow"/>
        </w:rPr>
        <w:t>[evaluation type]</w:t>
      </w:r>
      <w:r>
        <w:t xml:space="preserve"> with </w:t>
      </w:r>
      <w:r>
        <w:rPr>
          <w:highlight w:val="yellow"/>
        </w:rPr>
        <w:t>[N]</w:t>
      </w:r>
      <w:r>
        <w:t xml:space="preserve"> participants showed </w:t>
      </w:r>
      <w:r>
        <w:rPr>
          <w:highlight w:val="yellow"/>
        </w:rPr>
        <w:t>[EVALUATION RESULTS, no data yet]</w:t>
      </w:r>
      <w:r>
        <w:t>.</w:t>
      </w:r>
    </w:p>
    <w:p>
      <w:pPr>
        <w:jc w:val="both"/>
      </w:pPr>
      <w:r>
        <w:rPr>
          <w:b/>
        </w:rPr>
        <w:t>Keywords:</w:t>
      </w:r>
      <w:r>
        <w:t xml:space="preserve"> educational game, tower defense, antimicrobial resistance, antibiotics, serious game, Unity.</w:t>
      </w:r>
    </w:p>
    <w:p>
      <w:pPr>
        <w:pStyle w:val="Heading1"/>
      </w:pPr>
      <w:r>
        <w:t>1. Pendahuluan</w:t>
      </w:r>
    </w:p>
    <w:p>
      <w:pPr>
        <w:ind w:firstLine="425"/>
        <w:jc w:val="both"/>
      </w:pPr>
      <w:r>
        <w:t xml:space="preserve">Resistensi antimikroba merupakan salah satu ancaman kesehatan masyarakat terbesar saat ini. Analisis beban global memperkirakan infeksi bakteri resisten terkait dengan sekitar 4,95 juta kematian pada tahun 2019, dengan sekitar 1,27 juta kematian dapat diatribusikan langsung kepada resistensi [1]. Organisasi Kesehatan Dunia (WHO) menerbitkan daftar patogen prioritas bakteri yang mengelompokkan antara lain </w:t>
      </w:r>
      <w:r>
        <w:rPr>
          <w:i/>
        </w:rPr>
        <w:t>Acinetobacter baumannii</w:t>
      </w:r>
      <w:r>
        <w:t xml:space="preserve"> resisten karbapenem (CRAB) dan </w:t>
      </w:r>
      <w:r>
        <w:rPr>
          <w:i/>
        </w:rPr>
        <w:t>Klebsiella pneumoniae</w:t>
      </w:r>
      <w:r>
        <w:t xml:space="preserve"> penghasil ESBL pada kategori prioritas kritis [2]. </w:t>
      </w:r>
      <w:r>
        <w:rPr>
          <w:highlight w:val="yellow"/>
        </w:rPr>
        <w:t>[Tambahkan data AMR di Indonesia dan konteks penggunaan antibiotik tanpa resep, dengan sumber.]</w:t>
      </w:r>
    </w:p>
    <w:p>
      <w:pPr>
        <w:ind w:firstLine="425"/>
        <w:jc w:val="both"/>
      </w:pPr>
      <w:r>
        <w:t xml:space="preserve">Pemahaman bahwa antibiotik bersifat spesifik terhadap bakteri tertentu merupakan kompetensi dasar bagi mahasiswa kesehatan maupun masyarakat umum, tetapi umumnya disampaikan lewat tabel dan teks yang menuntut hafalan. </w:t>
      </w:r>
      <w:r>
        <w:rPr>
          <w:i/>
        </w:rPr>
        <w:t>Serious game</w:t>
      </w:r>
      <w:r>
        <w:t xml:space="preserve"> menawarkan alternatif karena pemain belajar melalui konsekuensi langsung dari keputusannya </w:t>
      </w:r>
      <w:r>
        <w:rPr>
          <w:highlight w:val="yellow"/>
        </w:rPr>
        <w:t>[sitasi serious game / game-based learning]</w:t>
      </w:r>
      <w:r>
        <w:t xml:space="preserve">. Genre </w:t>
      </w:r>
      <w:r>
        <w:rPr>
          <w:i/>
        </w:rPr>
        <w:t>tower defense</w:t>
      </w:r>
      <w:r>
        <w:t xml:space="preserve"> cocok untuk domain ini karena struktur dasarnya, yaitu memilih unit pertahanan yang tepat terhadap jenis musuh tertentu, secara alami memetakan ke pemilihan antibiotik yang tepat terhadap bakteri penyebab.</w:t>
      </w:r>
    </w:p>
    <w:p>
      <w:pPr>
        <w:ind w:firstLine="425"/>
        <w:jc w:val="both"/>
      </w:pPr>
      <w:r>
        <w:t xml:space="preserve">Kontribusi tulisan ini adalah: (1) matriks efektivitas 14×14 antibiotik–bakteri yang diterjemahkan menjadi mekanik damage dalam game; (2) rancangan stage berbasis kasus penyakit nyata; (3) implementasi prototipe MicroNexus pada Unity; dan (4) </w:t>
      </w:r>
      <w:r>
        <w:rPr>
          <w:highlight w:val="yellow"/>
        </w:rPr>
        <w:t>[kerangka/hasil evaluasi pembelajaran]</w:t>
      </w:r>
      <w:r>
        <w:t>.</w:t>
      </w:r>
    </w:p>
    <w:p>
      <w:pPr>
        <w:pStyle w:val="Heading1"/>
      </w:pPr>
      <w:r>
        <w:t>2. Tinjauan Pustaka</w:t>
      </w:r>
    </w:p>
    <w:p>
      <w:pPr>
        <w:pStyle w:val="Heading2"/>
      </w:pPr>
      <w:r>
        <w:t>2.1 Resistensi antimikroba dan pemilihan antibiotik</w:t>
      </w:r>
    </w:p>
    <w:p>
      <w:pPr>
        <w:ind w:firstLine="425"/>
        <w:jc w:val="both"/>
      </w:pPr>
      <w:r>
        <w:t xml:space="preserve">Antibiotik dikelompokkan menurut kelas dan mekanisme kerja, misalnya beta-laktam (amoksisilin, sefiksim, meropenem), glikopeptida (vankomisin), makrolida (azitromisin, klaritromisin), fluorokuinolon (siprofloksasin, levofloksasin), oksazolidinon (linezolid), polimiksin (kolistin), dan tetrasiklin (doksisiklin). Spektrum tiap kelas berbeda-beda, dan mekanisme resistensi seperti enzim ESBL atau gen </w:t>
      </w:r>
      <w:r>
        <w:rPr>
          <w:i/>
        </w:rPr>
        <w:t>vanA/vanB</w:t>
      </w:r>
      <w:r>
        <w:t xml:space="preserve"> pada VRE dapat meniadakan efektivitas obat yang semula andalan </w:t>
      </w:r>
      <w:r>
        <w:rPr>
          <w:highlight w:val="yellow"/>
        </w:rPr>
        <w:t>[sitasi buku teks farmakologi/mikrobiologi]</w:t>
      </w:r>
      <w:r>
        <w:t>. Prinsip inilah yang diangkat sebagai inti permainan.</w:t>
      </w:r>
    </w:p>
    <w:p>
      <w:pPr>
        <w:pStyle w:val="Heading2"/>
      </w:pPr>
      <w:r>
        <w:t>2.2 Game edukasi dan tower defense</w:t>
      </w:r>
    </w:p>
    <w:p>
      <w:pPr>
        <w:ind w:firstLine="425"/>
        <w:jc w:val="both"/>
      </w:pPr>
      <w:r>
        <w:rPr>
          <w:highlight w:val="yellow"/>
        </w:rPr>
        <w:t>[Tinjau 3–5 penelitian game edukasi kesehatan/mikrobiologi dan game edukasi bergenre tower defense. Jelaskan celah penelitian: apakah sudah ada game yang memodelkan efektivitas antibiotik–bakteri secara kuantitatif dan berbasis kasus penyakit? Bagian ini WAJIB diisi dengan sitasi nyata; tidak diisi otomatis agar tidak ada referensi fiktif.]</w:t>
      </w:r>
    </w:p>
    <w:p>
      <w:pPr>
        <w:pStyle w:val="Heading1"/>
      </w:pPr>
      <w:r>
        <w:t>3. Metode Pengembangan</w:t>
      </w:r>
    </w:p>
    <w:p>
      <w:pPr>
        <w:ind w:firstLine="425"/>
        <w:jc w:val="both"/>
      </w:pPr>
      <w:r>
        <w:t xml:space="preserve">Pengembangan dilakukan secara iteratif dengan </w:t>
      </w:r>
      <w:r>
        <w:rPr>
          <w:highlight w:val="yellow"/>
        </w:rPr>
        <w:t>[nama metodologi, mis. GDLC / Agile / ADDIE, sesuaikan dengan bab metodologi skripsi]</w:t>
      </w:r>
      <w:r>
        <w:t xml:space="preserve">. Tahap utama meliputi (a) penyusunan materi dan matriks efektivitas, (b) perancangan gameplay dan stage, (c) produksi aset visual, (d) implementasi di Unity 6 (6000.0.62f1) dengan </w:t>
      </w:r>
      <w:r>
        <w:rPr>
          <w:i/>
        </w:rPr>
        <w:t>Universal Render Pipeline 2D</w:t>
      </w:r>
      <w:r>
        <w:t xml:space="preserve">, dan (e) pengujian </w:t>
      </w:r>
      <w:r>
        <w:rPr>
          <w:highlight w:val="yellow"/>
        </w:rPr>
        <w:t>[uraikan]</w:t>
      </w:r>
      <w:r>
        <w:t>.</w:t>
      </w:r>
    </w:p>
    <w:p>
      <w:pPr>
        <w:pStyle w:val="Heading2"/>
      </w:pPr>
      <w:r>
        <w:t>3.1 Penyusunan materi dan matriks efektivitas</w:t>
      </w:r>
    </w:p>
    <w:p>
      <w:pPr>
        <w:ind w:firstLine="425"/>
        <w:jc w:val="both"/>
      </w:pPr>
      <w:r>
        <w:t>Materi dasar berasal dari dokumen materi game yang disusun penulis (</w:t>
      </w:r>
      <w:r>
        <w:rPr>
          <w:highlight w:val="yellow"/>
        </w:rPr>
        <w:t>[Materi Game 1 dan 2]</w:t>
      </w:r>
      <w:r>
        <w:t xml:space="preserve">), berisi matriks 7×7 awal serta profil antibiotik (kelas, indikasi, bakteri target, efek samping) dan profil bakteri (karakteristik, habitat, penyakit, antibiotik efektif). Matriks kemudian diperluas menjadi 14×14 dengan tujuh pasangan baru yang dipilih berdasarkan pedoman klinis dan prioritas WHO: meropenem terhadap </w:t>
      </w:r>
      <w:r>
        <w:rPr>
          <w:i/>
        </w:rPr>
        <w:t>K. pneumoniae</w:t>
      </w:r>
      <w:r>
        <w:t xml:space="preserve"> ESBL, seftriakson terhadap </w:t>
      </w:r>
      <w:r>
        <w:rPr>
          <w:i/>
        </w:rPr>
        <w:t>N. gonorrhoeae</w:t>
      </w:r>
      <w:r>
        <w:t xml:space="preserve">, linezolid terhadap VRE, klaritromisin terhadap </w:t>
      </w:r>
      <w:r>
        <w:rPr>
          <w:i/>
        </w:rPr>
        <w:t>H. pylori</w:t>
      </w:r>
      <w:r>
        <w:t xml:space="preserve">, penisilin V terhadap </w:t>
      </w:r>
      <w:r>
        <w:rPr>
          <w:i/>
        </w:rPr>
        <w:t>S. pyogenes</w:t>
      </w:r>
      <w:r>
        <w:t xml:space="preserve">, kolistin terhadap CRAB, dan doksisiklin terhadap </w:t>
      </w:r>
      <w:r>
        <w:rPr>
          <w:i/>
        </w:rPr>
        <w:t>C. trachomatis</w:t>
      </w:r>
      <w:r>
        <w:t xml:space="preserve"> [2], [3]. Nilai efektivitas memakai skala 0–20 (0 = tidak efektif/resisten, 4 = minimal, 8 = parsial-rendah, 12 = parsial-sedang, 16 = kuat, 20 = efektif penuh), yang setara skala simbol "+" pada materi sumber. Beberapa keputusan desain sengaja mengikuti realitas klinis, misalnya meropenem bernilai 0 terhadap MRSA dan CRAB, vankomisin bernilai 0 terhadap VRE, dan kolistin sengaja rendah di hampir semua bakteri kecuali CRAB.</w:t>
      </w:r>
    </w:p>
    <w:p>
      <w:pPr>
        <w:keepNext/>
        <w:spacing w:after="80"/>
        <w:jc w:val="center"/>
      </w:pPr>
      <w:r>
        <w:rPr>
          <w:b/>
          <w:sz w:val="20"/>
        </w:rPr>
        <w:t>Tabel 1. Matriks efektivitas antibiotik–bakteri (skala 0–20), 14 antibiotik × 14 bakteri</w:t>
      </w:r>
    </w:p>
    <w:tbl>
      <w:tblPr>
        <w:tblStyle w:val="TableGrid"/>
        <w:tblW w:type="auto" w:w="0"/>
        <w:jc w:val="center"/>
        <w:tblLook w:firstColumn="1" w:firstRow="1" w:lastColumn="0" w:lastRow="0" w:noHBand="0" w:noVBand="1" w:val="04A0"/>
        <w:tblCellMar>
          <w:top w:w="30" w:type="dxa"/>
          <w:bottom w:w="30" w:type="dxa"/>
          <w:left w:w="60" w:type="dxa"/>
          <w:right w:w="60" w:type="dxa"/>
        </w:tblCellMar>
      </w:tblPr>
      <w:tblGrid>
        <w:gridCol w:w="1134"/>
        <w:gridCol w:w="1134"/>
        <w:gridCol w:w="1134"/>
        <w:gridCol w:w="1134"/>
        <w:gridCol w:w="1134"/>
        <w:gridCol w:w="1134"/>
        <w:gridCol w:w="1134"/>
        <w:gridCol w:w="1134"/>
      </w:tblGrid>
      <w:tr>
        <w:tc>
          <w:tcPr>
            <w:tcW w:type="dxa" w:w="1644"/>
            <w:shd w:val="clear" w:color="auto" w:fill="D9D9D9"/>
          </w:tcPr>
          <w:p>
            <w:pPr>
              <w:spacing w:after="0" w:line="240" w:lineRule="auto"/>
            </w:pPr>
            <w:r>
              <w:rPr>
                <w:b/>
                <w:sz w:val="17"/>
              </w:rPr>
            </w:r>
            <w:r>
              <w:rPr>
                <w:b/>
                <w:sz w:val="17"/>
              </w:rPr>
              <w:t>Antibiotik</w:t>
            </w:r>
          </w:p>
        </w:tc>
        <w:tc>
          <w:tcPr>
            <w:tcW w:type="dxa" w:w="1077"/>
            <w:shd w:val="clear" w:color="auto" w:fill="D9D9D9"/>
          </w:tcPr>
          <w:p>
            <w:pPr>
              <w:spacing w:after="0" w:line="240" w:lineRule="auto"/>
              <w:jc w:val="center"/>
            </w:pPr>
            <w:r>
              <w:rPr>
                <w:b/>
                <w:sz w:val="17"/>
              </w:rPr>
            </w:r>
            <w:r>
              <w:rPr>
                <w:b/>
                <w:sz w:val="17"/>
              </w:rPr>
              <w:t>S. pneu</w:t>
            </w:r>
          </w:p>
        </w:tc>
        <w:tc>
          <w:tcPr>
            <w:tcW w:type="dxa" w:w="1077"/>
            <w:shd w:val="clear" w:color="auto" w:fill="D9D9D9"/>
          </w:tcPr>
          <w:p>
            <w:pPr>
              <w:spacing w:after="0" w:line="240" w:lineRule="auto"/>
              <w:jc w:val="center"/>
            </w:pPr>
            <w:r>
              <w:rPr>
                <w:b/>
                <w:sz w:val="17"/>
              </w:rPr>
            </w:r>
            <w:r>
              <w:rPr>
                <w:b/>
                <w:sz w:val="17"/>
              </w:rPr>
              <w:t>MSSA</w:t>
            </w:r>
          </w:p>
        </w:tc>
        <w:tc>
          <w:tcPr>
            <w:tcW w:type="dxa" w:w="1077"/>
            <w:shd w:val="clear" w:color="auto" w:fill="D9D9D9"/>
          </w:tcPr>
          <w:p>
            <w:pPr>
              <w:spacing w:after="0" w:line="240" w:lineRule="auto"/>
              <w:jc w:val="center"/>
            </w:pPr>
            <w:r>
              <w:rPr>
                <w:b/>
                <w:sz w:val="17"/>
              </w:rPr>
            </w:r>
            <w:r>
              <w:rPr>
                <w:b/>
                <w:sz w:val="17"/>
              </w:rPr>
              <w:t>MRSA</w:t>
            </w:r>
          </w:p>
        </w:tc>
        <w:tc>
          <w:tcPr>
            <w:tcW w:type="dxa" w:w="1077"/>
            <w:shd w:val="clear" w:color="auto" w:fill="D9D9D9"/>
          </w:tcPr>
          <w:p>
            <w:pPr>
              <w:spacing w:after="0" w:line="240" w:lineRule="auto"/>
              <w:jc w:val="center"/>
            </w:pPr>
            <w:r>
              <w:rPr>
                <w:b/>
                <w:sz w:val="17"/>
              </w:rPr>
            </w:r>
            <w:r>
              <w:rPr>
                <w:b/>
                <w:sz w:val="17"/>
              </w:rPr>
              <w:t>M. cat</w:t>
            </w:r>
          </w:p>
        </w:tc>
        <w:tc>
          <w:tcPr>
            <w:tcW w:type="dxa" w:w="1077"/>
            <w:shd w:val="clear" w:color="auto" w:fill="D9D9D9"/>
          </w:tcPr>
          <w:p>
            <w:pPr>
              <w:spacing w:after="0" w:line="240" w:lineRule="auto"/>
              <w:jc w:val="center"/>
            </w:pPr>
            <w:r>
              <w:rPr>
                <w:b/>
                <w:sz w:val="17"/>
              </w:rPr>
            </w:r>
            <w:r>
              <w:rPr>
                <w:b/>
                <w:sz w:val="17"/>
              </w:rPr>
              <w:t>H. inf</w:t>
            </w:r>
          </w:p>
        </w:tc>
        <w:tc>
          <w:tcPr>
            <w:tcW w:type="dxa" w:w="1077"/>
            <w:shd w:val="clear" w:color="auto" w:fill="D9D9D9"/>
          </w:tcPr>
          <w:p>
            <w:pPr>
              <w:spacing w:after="0" w:line="240" w:lineRule="auto"/>
              <w:jc w:val="center"/>
            </w:pPr>
            <w:r>
              <w:rPr>
                <w:b/>
                <w:sz w:val="17"/>
              </w:rPr>
            </w:r>
            <w:r>
              <w:rPr>
                <w:b/>
                <w:sz w:val="17"/>
              </w:rPr>
              <w:t>E. coli</w:t>
            </w:r>
          </w:p>
        </w:tc>
        <w:tc>
          <w:tcPr>
            <w:tcW w:type="dxa" w:w="1077"/>
            <w:shd w:val="clear" w:color="auto" w:fill="D9D9D9"/>
          </w:tcPr>
          <w:p>
            <w:pPr>
              <w:spacing w:after="0" w:line="240" w:lineRule="auto"/>
              <w:jc w:val="center"/>
            </w:pPr>
            <w:r>
              <w:rPr>
                <w:b/>
                <w:sz w:val="17"/>
              </w:rPr>
            </w:r>
            <w:r>
              <w:rPr>
                <w:b/>
                <w:sz w:val="17"/>
              </w:rPr>
              <w:t>P. aer</w:t>
            </w:r>
          </w:p>
        </w:tc>
      </w:tr>
      <w:tr>
        <w:tc>
          <w:tcPr>
            <w:tcW w:type="dxa" w:w="1644"/>
          </w:tcPr>
          <w:p>
            <w:pPr>
              <w:spacing w:after="0" w:line="240" w:lineRule="auto"/>
            </w:pPr>
            <w:r>
              <w:rPr>
                <w:sz w:val="17"/>
              </w:rPr>
            </w:r>
            <w:r>
              <w:rPr>
                <w:sz w:val="17"/>
              </w:rPr>
              <w:t>Amoxicillin</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Cefixime</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Vancomisin</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Azitromisin</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Ciprofloxacin</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20</w:t>
            </w:r>
          </w:p>
        </w:tc>
      </w:tr>
      <w:tr>
        <w:tc>
          <w:tcPr>
            <w:tcW w:type="dxa" w:w="1644"/>
          </w:tcPr>
          <w:p>
            <w:pPr>
              <w:spacing w:after="0" w:line="240" w:lineRule="auto"/>
            </w:pPr>
            <w:r>
              <w:rPr>
                <w:sz w:val="17"/>
              </w:rPr>
            </w:r>
            <w:r>
              <w:rPr>
                <w:sz w:val="17"/>
              </w:rPr>
              <w:t>Levofloksasin</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12</w:t>
            </w:r>
          </w:p>
        </w:tc>
      </w:tr>
      <w:tr>
        <w:tc>
          <w:tcPr>
            <w:tcW w:type="dxa" w:w="1644"/>
          </w:tcPr>
          <w:p>
            <w:pPr>
              <w:spacing w:after="0" w:line="240" w:lineRule="auto"/>
            </w:pPr>
            <w:r>
              <w:rPr>
                <w:sz w:val="17"/>
              </w:rPr>
            </w:r>
            <w:r>
              <w:rPr>
                <w:sz w:val="17"/>
              </w:rPr>
              <w:t>Cotrimoxazole</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Meropenem</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20</w:t>
            </w:r>
          </w:p>
        </w:tc>
      </w:tr>
      <w:tr>
        <w:tc>
          <w:tcPr>
            <w:tcW w:type="dxa" w:w="1644"/>
          </w:tcPr>
          <w:p>
            <w:pPr>
              <w:spacing w:after="0" w:line="240" w:lineRule="auto"/>
            </w:pPr>
            <w:r>
              <w:rPr>
                <w:sz w:val="17"/>
              </w:rPr>
            </w:r>
            <w:r>
              <w:rPr>
                <w:sz w:val="17"/>
              </w:rPr>
              <w:t>Ceftriaxone</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Linezolid</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Clarithromycin</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Penicillin V</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Colistin</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8</w:t>
            </w:r>
          </w:p>
        </w:tc>
      </w:tr>
      <w:tr>
        <w:tc>
          <w:tcPr>
            <w:tcW w:type="dxa" w:w="1644"/>
          </w:tcPr>
          <w:p>
            <w:pPr>
              <w:spacing w:after="0" w:line="240" w:lineRule="auto"/>
            </w:pPr>
            <w:r>
              <w:rPr>
                <w:sz w:val="17"/>
              </w:rPr>
            </w:r>
            <w:r>
              <w:rPr>
                <w:sz w:val="17"/>
              </w:rPr>
              <w:t>Doxycycline</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r>
    </w:tbl>
    <w:p>
      <w:pPr>
        <w:spacing w:after="40"/>
      </w:pPr>
    </w:p>
    <w:tbl>
      <w:tblPr>
        <w:tblStyle w:val="TableGrid"/>
        <w:tblW w:type="auto" w:w="0"/>
        <w:jc w:val="center"/>
        <w:tblLook w:firstColumn="1" w:firstRow="1" w:lastColumn="0" w:lastRow="0" w:noHBand="0" w:noVBand="1" w:val="04A0"/>
        <w:tblCellMar>
          <w:top w:w="30" w:type="dxa"/>
          <w:bottom w:w="30" w:type="dxa"/>
          <w:left w:w="60" w:type="dxa"/>
          <w:right w:w="60" w:type="dxa"/>
        </w:tblCellMar>
      </w:tblPr>
      <w:tblGrid>
        <w:gridCol w:w="1134"/>
        <w:gridCol w:w="1134"/>
        <w:gridCol w:w="1134"/>
        <w:gridCol w:w="1134"/>
        <w:gridCol w:w="1134"/>
        <w:gridCol w:w="1134"/>
        <w:gridCol w:w="1134"/>
        <w:gridCol w:w="1134"/>
      </w:tblGrid>
      <w:tr>
        <w:tc>
          <w:tcPr>
            <w:tcW w:type="dxa" w:w="1644"/>
            <w:shd w:val="clear" w:color="auto" w:fill="D9D9D9"/>
          </w:tcPr>
          <w:p>
            <w:pPr>
              <w:spacing w:after="0" w:line="240" w:lineRule="auto"/>
            </w:pPr>
            <w:r>
              <w:rPr>
                <w:b/>
                <w:sz w:val="17"/>
              </w:rPr>
            </w:r>
            <w:r>
              <w:rPr>
                <w:b/>
                <w:sz w:val="17"/>
              </w:rPr>
              <w:t>Antibiotik</w:t>
            </w:r>
          </w:p>
        </w:tc>
        <w:tc>
          <w:tcPr>
            <w:tcW w:type="dxa" w:w="1077"/>
            <w:shd w:val="clear" w:color="auto" w:fill="D9D9D9"/>
          </w:tcPr>
          <w:p>
            <w:pPr>
              <w:spacing w:after="0" w:line="240" w:lineRule="auto"/>
              <w:jc w:val="center"/>
            </w:pPr>
            <w:r>
              <w:rPr>
                <w:b/>
                <w:sz w:val="17"/>
              </w:rPr>
            </w:r>
            <w:r>
              <w:rPr>
                <w:b/>
                <w:sz w:val="17"/>
              </w:rPr>
              <w:t>K. pneu ESBL</w:t>
            </w:r>
          </w:p>
        </w:tc>
        <w:tc>
          <w:tcPr>
            <w:tcW w:type="dxa" w:w="1077"/>
            <w:shd w:val="clear" w:color="auto" w:fill="D9D9D9"/>
          </w:tcPr>
          <w:p>
            <w:pPr>
              <w:spacing w:after="0" w:line="240" w:lineRule="auto"/>
              <w:jc w:val="center"/>
            </w:pPr>
            <w:r>
              <w:rPr>
                <w:b/>
                <w:sz w:val="17"/>
              </w:rPr>
            </w:r>
            <w:r>
              <w:rPr>
                <w:b/>
                <w:sz w:val="17"/>
              </w:rPr>
              <w:t>N. gono</w:t>
            </w:r>
          </w:p>
        </w:tc>
        <w:tc>
          <w:tcPr>
            <w:tcW w:type="dxa" w:w="1077"/>
            <w:shd w:val="clear" w:color="auto" w:fill="D9D9D9"/>
          </w:tcPr>
          <w:p>
            <w:pPr>
              <w:spacing w:after="0" w:line="240" w:lineRule="auto"/>
              <w:jc w:val="center"/>
            </w:pPr>
            <w:r>
              <w:rPr>
                <w:b/>
                <w:sz w:val="17"/>
              </w:rPr>
            </w:r>
            <w:r>
              <w:rPr>
                <w:b/>
                <w:sz w:val="17"/>
              </w:rPr>
              <w:t>VRE</w:t>
            </w:r>
          </w:p>
        </w:tc>
        <w:tc>
          <w:tcPr>
            <w:tcW w:type="dxa" w:w="1077"/>
            <w:shd w:val="clear" w:color="auto" w:fill="D9D9D9"/>
          </w:tcPr>
          <w:p>
            <w:pPr>
              <w:spacing w:after="0" w:line="240" w:lineRule="auto"/>
              <w:jc w:val="center"/>
            </w:pPr>
            <w:r>
              <w:rPr>
                <w:b/>
                <w:sz w:val="17"/>
              </w:rPr>
            </w:r>
            <w:r>
              <w:rPr>
                <w:b/>
                <w:sz w:val="17"/>
              </w:rPr>
              <w:t>H. pylori</w:t>
            </w:r>
          </w:p>
        </w:tc>
        <w:tc>
          <w:tcPr>
            <w:tcW w:type="dxa" w:w="1077"/>
            <w:shd w:val="clear" w:color="auto" w:fill="D9D9D9"/>
          </w:tcPr>
          <w:p>
            <w:pPr>
              <w:spacing w:after="0" w:line="240" w:lineRule="auto"/>
              <w:jc w:val="center"/>
            </w:pPr>
            <w:r>
              <w:rPr>
                <w:b/>
                <w:sz w:val="17"/>
              </w:rPr>
            </w:r>
            <w:r>
              <w:rPr>
                <w:b/>
                <w:sz w:val="17"/>
              </w:rPr>
              <w:t>S. pyo</w:t>
            </w:r>
          </w:p>
        </w:tc>
        <w:tc>
          <w:tcPr>
            <w:tcW w:type="dxa" w:w="1077"/>
            <w:shd w:val="clear" w:color="auto" w:fill="D9D9D9"/>
          </w:tcPr>
          <w:p>
            <w:pPr>
              <w:spacing w:after="0" w:line="240" w:lineRule="auto"/>
              <w:jc w:val="center"/>
            </w:pPr>
            <w:r>
              <w:rPr>
                <w:b/>
                <w:sz w:val="17"/>
              </w:rPr>
            </w:r>
            <w:r>
              <w:rPr>
                <w:b/>
                <w:sz w:val="17"/>
              </w:rPr>
              <w:t>CRAB</w:t>
            </w:r>
          </w:p>
        </w:tc>
        <w:tc>
          <w:tcPr>
            <w:tcW w:type="dxa" w:w="1077"/>
            <w:shd w:val="clear" w:color="auto" w:fill="D9D9D9"/>
          </w:tcPr>
          <w:p>
            <w:pPr>
              <w:spacing w:after="0" w:line="240" w:lineRule="auto"/>
              <w:jc w:val="center"/>
            </w:pPr>
            <w:r>
              <w:rPr>
                <w:b/>
                <w:sz w:val="17"/>
              </w:rPr>
            </w:r>
            <w:r>
              <w:rPr>
                <w:b/>
                <w:sz w:val="17"/>
              </w:rPr>
              <w:t>C. tra</w:t>
            </w:r>
          </w:p>
        </w:tc>
      </w:tr>
      <w:tr>
        <w:tc>
          <w:tcPr>
            <w:tcW w:type="dxa" w:w="1644"/>
          </w:tcPr>
          <w:p>
            <w:pPr>
              <w:spacing w:after="0" w:line="240" w:lineRule="auto"/>
            </w:pPr>
            <w:r>
              <w:rPr>
                <w:sz w:val="17"/>
              </w:rPr>
            </w:r>
            <w:r>
              <w:rPr>
                <w:sz w:val="17"/>
              </w:rPr>
              <w:t>Amoxicillin</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8</w:t>
            </w:r>
          </w:p>
        </w:tc>
      </w:tr>
      <w:tr>
        <w:tc>
          <w:tcPr>
            <w:tcW w:type="dxa" w:w="1644"/>
          </w:tcPr>
          <w:p>
            <w:pPr>
              <w:spacing w:after="0" w:line="240" w:lineRule="auto"/>
            </w:pPr>
            <w:r>
              <w:rPr>
                <w:sz w:val="17"/>
              </w:rPr>
            </w:r>
            <w:r>
              <w:rPr>
                <w:sz w:val="17"/>
              </w:rPr>
              <w:t>Cefixime</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Vancomisin</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Azitromisin</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16</w:t>
            </w:r>
          </w:p>
        </w:tc>
      </w:tr>
      <w:tr>
        <w:tc>
          <w:tcPr>
            <w:tcW w:type="dxa" w:w="1644"/>
          </w:tcPr>
          <w:p>
            <w:pPr>
              <w:spacing w:after="0" w:line="240" w:lineRule="auto"/>
            </w:pPr>
            <w:r>
              <w:rPr>
                <w:sz w:val="17"/>
              </w:rPr>
            </w:r>
            <w:r>
              <w:rPr>
                <w:sz w:val="17"/>
              </w:rPr>
              <w:t>Ciprofloxacin</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r>
      <w:tr>
        <w:tc>
          <w:tcPr>
            <w:tcW w:type="dxa" w:w="1644"/>
          </w:tcPr>
          <w:p>
            <w:pPr>
              <w:spacing w:after="0" w:line="240" w:lineRule="auto"/>
            </w:pPr>
            <w:r>
              <w:rPr>
                <w:sz w:val="17"/>
              </w:rPr>
            </w:r>
            <w:r>
              <w:rPr>
                <w:sz w:val="17"/>
              </w:rPr>
              <w:t>Levofloksasin</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12</w:t>
            </w:r>
          </w:p>
        </w:tc>
      </w:tr>
      <w:tr>
        <w:tc>
          <w:tcPr>
            <w:tcW w:type="dxa" w:w="1644"/>
          </w:tcPr>
          <w:p>
            <w:pPr>
              <w:spacing w:after="0" w:line="240" w:lineRule="auto"/>
            </w:pPr>
            <w:r>
              <w:rPr>
                <w:sz w:val="17"/>
              </w:rPr>
            </w:r>
            <w:r>
              <w:rPr>
                <w:sz w:val="17"/>
              </w:rPr>
              <w:t>Cotrimoxazole</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Meropenem</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Ceftriaxone</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Linezolid</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16</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Clarithromycin</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12</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8</w:t>
            </w:r>
          </w:p>
        </w:tc>
      </w:tr>
      <w:tr>
        <w:tc>
          <w:tcPr>
            <w:tcW w:type="dxa" w:w="1644"/>
          </w:tcPr>
          <w:p>
            <w:pPr>
              <w:spacing w:after="0" w:line="240" w:lineRule="auto"/>
            </w:pPr>
            <w:r>
              <w:rPr>
                <w:sz w:val="17"/>
              </w:rPr>
            </w:r>
            <w:r>
              <w:rPr>
                <w:sz w:val="17"/>
              </w:rPr>
              <w:t>Penicillin V</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Colistin</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0</w:t>
            </w:r>
          </w:p>
        </w:tc>
        <w:tc>
          <w:tcPr>
            <w:tcW w:type="dxa" w:w="1077"/>
          </w:tcPr>
          <w:p>
            <w:pPr>
              <w:spacing w:after="0" w:line="240" w:lineRule="auto"/>
              <w:jc w:val="center"/>
            </w:pPr>
            <w:r>
              <w:rPr>
                <w:sz w:val="17"/>
              </w:rPr>
            </w:r>
            <w:r>
              <w:rPr>
                <w:sz w:val="17"/>
              </w:rPr>
              <w:t>20</w:t>
            </w:r>
          </w:p>
        </w:tc>
        <w:tc>
          <w:tcPr>
            <w:tcW w:type="dxa" w:w="1077"/>
          </w:tcPr>
          <w:p>
            <w:pPr>
              <w:spacing w:after="0" w:line="240" w:lineRule="auto"/>
              <w:jc w:val="center"/>
            </w:pPr>
            <w:r>
              <w:rPr>
                <w:sz w:val="17"/>
              </w:rPr>
            </w:r>
            <w:r>
              <w:rPr>
                <w:sz w:val="17"/>
              </w:rPr>
              <w:t>0</w:t>
            </w:r>
          </w:p>
        </w:tc>
      </w:tr>
      <w:tr>
        <w:tc>
          <w:tcPr>
            <w:tcW w:type="dxa" w:w="1644"/>
          </w:tcPr>
          <w:p>
            <w:pPr>
              <w:spacing w:after="0" w:line="240" w:lineRule="auto"/>
            </w:pPr>
            <w:r>
              <w:rPr>
                <w:sz w:val="17"/>
              </w:rPr>
            </w:r>
            <w:r>
              <w:rPr>
                <w:sz w:val="17"/>
              </w:rPr>
              <w:t>Doxycycline</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8</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4</w:t>
            </w:r>
          </w:p>
        </w:tc>
        <w:tc>
          <w:tcPr>
            <w:tcW w:type="dxa" w:w="1077"/>
          </w:tcPr>
          <w:p>
            <w:pPr>
              <w:spacing w:after="0" w:line="240" w:lineRule="auto"/>
              <w:jc w:val="center"/>
            </w:pPr>
            <w:r>
              <w:rPr>
                <w:sz w:val="17"/>
              </w:rPr>
            </w:r>
            <w:r>
              <w:rPr>
                <w:sz w:val="17"/>
              </w:rPr>
              <w:t>20</w:t>
            </w:r>
          </w:p>
        </w:tc>
      </w:tr>
    </w:tbl>
    <w:p>
      <w:pPr>
        <w:spacing w:after="40"/>
      </w:pPr>
    </w:p>
    <w:p>
      <w:pPr>
        <w:pStyle w:val="Heading2"/>
      </w:pPr>
      <w:r>
        <w:t>3.2 Perancangan gameplay</w:t>
      </w:r>
    </w:p>
    <w:p>
      <w:pPr>
        <w:ind w:firstLine="425"/>
        <w:jc w:val="both"/>
      </w:pPr>
      <w:r>
        <w:t>Pemain menempatkan karakter antibiotik pada petak (</w:t>
      </w:r>
      <w:r>
        <w:rPr>
          <w:i/>
        </w:rPr>
        <w:t>grid</w:t>
      </w:r>
      <w:r>
        <w:t xml:space="preserve">) berbaris lajur; bakteri bergerak dari kanan ke kiri sepanjang lajur. Karakter antibiotik menembakkan proyektil ke arah kanan; saat proyektil mengenai bakteri, </w:t>
      </w:r>
      <w:r>
        <w:rPr>
          <w:i/>
        </w:rPr>
        <w:t>damage</w:t>
      </w:r>
      <w:r>
        <w:t xml:space="preserve"> ditentukan oleh nilai matriks pasangan tersebut dan dikurangkan dari </w:t>
      </w:r>
      <w:r>
        <w:rPr>
          <w:i/>
        </w:rPr>
        <w:t>health</w:t>
      </w:r>
      <w:r>
        <w:t xml:space="preserve"> bakteri (mis. 3 pada </w:t>
      </w:r>
      <w:r>
        <w:rPr>
          <w:i/>
        </w:rPr>
        <w:t>S. pneumoniae</w:t>
      </w:r>
      <w:r>
        <w:t xml:space="preserve">). Sebuah umpan balik visual efektivitas ditampilkan setiap kali kena, sehingga pemain langsung melihat apakah pilihannya tepat. Nama spesies muncul ketika kursor diarahkan ke bakteri. Bakteri yang mati menjatuhkan </w:t>
      </w:r>
      <w:r>
        <w:rPr>
          <w:i/>
        </w:rPr>
        <w:t>atom</w:t>
      </w:r>
      <w:r>
        <w:t xml:space="preserve"> yang dikumpulkan pemain dengan klik dan dipakai </w:t>
      </w:r>
      <w:r>
        <w:rPr>
          <w:highlight w:val="yellow"/>
        </w:rPr>
        <w:t>[verifikasi: sebagai mata uang penempatan antibiotik]</w:t>
      </w:r>
      <w:r>
        <w:t xml:space="preserve">. Berbeda dari </w:t>
      </w:r>
      <w:r>
        <w:rPr>
          <w:i/>
        </w:rPr>
        <w:t>tower defense</w:t>
      </w:r>
      <w:r>
        <w:t xml:space="preserve"> konvensional, antibiotik memiliki 5 poin kesehatan dan dapat diserang bakteri jarak dekat setiap 1,5 detik, sehingga salah memilih obat berakibat pada hilangnya pertahanan, bukan sekadar waktu bermain.</w:t>
      </w:r>
    </w:p>
    <w:p>
      <w:pPr>
        <w:ind w:firstLine="425"/>
        <w:jc w:val="both"/>
      </w:pPr>
      <w:r>
        <w:t xml:space="preserve">Setiap stage memuat satu kasus penyakit: bakteri penyebab sebagai musuh utama dan empat kartu antibiotik, terdiri atas satu pilihan yang benar dan tiga lainnya yang sengaja dipilih agar menghasilkan pelajaran tertentu. Contoh: pada stage VRE, vankomisin wajib hadir dengan efektivitas 0 untuk menunjukkan bahwa obat andalan Gram-positif gagal total terhadap strain resisten. Mode </w:t>
      </w:r>
      <w:r>
        <w:rPr>
          <w:i/>
        </w:rPr>
        <w:t>Endless</w:t>
      </w:r>
      <w:r>
        <w:t xml:space="preserve"> menghasilkan gelombang tanpa akhir dengan skor berdasarkan jumlah siklus dan bendera, disimpan pada papan peringkat.</w:t>
      </w:r>
    </w:p>
    <w:p>
      <w:pPr>
        <w:keepNext/>
        <w:spacing w:after="80"/>
        <w:jc w:val="center"/>
      </w:pPr>
      <w:r>
        <w:rPr>
          <w:b/>
          <w:sz w:val="20"/>
        </w:rPr>
        <w:t>Tabel 2. Rancangan stage berbasis kasus penyakit</w:t>
      </w:r>
    </w:p>
    <w:tbl>
      <w:tblPr>
        <w:tblStyle w:val="TableGrid"/>
        <w:tblW w:type="auto" w:w="0"/>
        <w:jc w:val="center"/>
        <w:tblLook w:firstColumn="1" w:firstRow="1" w:lastColumn="0" w:lastRow="0" w:noHBand="0" w:noVBand="1" w:val="04A0"/>
        <w:tblCellMar>
          <w:top w:w="30" w:type="dxa"/>
          <w:bottom w:w="30" w:type="dxa"/>
          <w:left w:w="60" w:type="dxa"/>
          <w:right w:w="60" w:type="dxa"/>
        </w:tblCellMar>
      </w:tblPr>
      <w:tblGrid>
        <w:gridCol w:w="2268"/>
        <w:gridCol w:w="2268"/>
        <w:gridCol w:w="2268"/>
        <w:gridCol w:w="2268"/>
      </w:tblGrid>
      <w:tr>
        <w:tc>
          <w:tcPr>
            <w:tcW w:type="dxa" w:w="737"/>
            <w:shd w:val="clear" w:color="auto" w:fill="D9D9D9"/>
          </w:tcPr>
          <w:p>
            <w:pPr>
              <w:spacing w:after="0" w:line="240" w:lineRule="auto"/>
            </w:pPr>
            <w:r>
              <w:rPr>
                <w:b/>
                <w:sz w:val="17"/>
              </w:rPr>
            </w:r>
            <w:r>
              <w:rPr>
                <w:b/>
                <w:sz w:val="17"/>
              </w:rPr>
              <w:t>Stage</w:t>
            </w:r>
          </w:p>
        </w:tc>
        <w:tc>
          <w:tcPr>
            <w:tcW w:type="dxa" w:w="2381"/>
            <w:shd w:val="clear" w:color="auto" w:fill="D9D9D9"/>
          </w:tcPr>
          <w:p>
            <w:pPr>
              <w:spacing w:after="0" w:line="240" w:lineRule="auto"/>
            </w:pPr>
            <w:r>
              <w:rPr>
                <w:b/>
                <w:sz w:val="17"/>
              </w:rPr>
            </w:r>
            <w:r>
              <w:rPr>
                <w:b/>
                <w:sz w:val="17"/>
              </w:rPr>
              <w:t>Kasus penyakit</w:t>
            </w:r>
          </w:p>
        </w:tc>
        <w:tc>
          <w:tcPr>
            <w:tcW w:type="dxa" w:w="2778"/>
            <w:shd w:val="clear" w:color="auto" w:fill="D9D9D9"/>
          </w:tcPr>
          <w:p>
            <w:pPr>
              <w:spacing w:after="0" w:line="240" w:lineRule="auto"/>
            </w:pPr>
            <w:r>
              <w:rPr>
                <w:b/>
                <w:sz w:val="17"/>
              </w:rPr>
            </w:r>
            <w:r>
              <w:rPr>
                <w:b/>
                <w:sz w:val="17"/>
              </w:rPr>
              <w:t>Bakteri utama</w:t>
            </w:r>
          </w:p>
        </w:tc>
        <w:tc>
          <w:tcPr>
            <w:tcW w:type="dxa" w:w="3175"/>
            <w:shd w:val="clear" w:color="auto" w:fill="D9D9D9"/>
          </w:tcPr>
          <w:p>
            <w:pPr>
              <w:spacing w:after="0" w:line="240" w:lineRule="auto"/>
            </w:pPr>
            <w:r>
              <w:rPr>
                <w:b/>
                <w:sz w:val="17"/>
              </w:rPr>
            </w:r>
            <w:r>
              <w:rPr>
                <w:b/>
                <w:sz w:val="17"/>
              </w:rPr>
              <w:t>Antibiotik pilihan</w:t>
            </w:r>
          </w:p>
        </w:tc>
      </w:tr>
      <w:tr>
        <w:tc>
          <w:tcPr>
            <w:tcW w:type="dxa" w:w="737"/>
          </w:tcPr>
          <w:p>
            <w:pPr>
              <w:spacing w:after="0" w:line="240" w:lineRule="auto"/>
            </w:pPr>
            <w:r>
              <w:rPr>
                <w:sz w:val="17"/>
              </w:rPr>
            </w:r>
            <w:r>
              <w:rPr>
                <w:sz w:val="17"/>
              </w:rPr>
              <w:t>1–6</w:t>
            </w:r>
          </w:p>
        </w:tc>
        <w:tc>
          <w:tcPr>
            <w:tcW w:type="dxa" w:w="2381"/>
          </w:tcPr>
          <w:p>
            <w:pPr>
              <w:spacing w:after="0" w:line="240" w:lineRule="auto"/>
            </w:pPr>
            <w:r>
              <w:rPr>
                <w:sz w:val="17"/>
              </w:rPr>
            </w:r>
            <w:r>
              <w:rPr>
                <w:sz w:val="17"/>
              </w:rPr>
              <w:t>Otitis media, faringitis, bronkitis kronis, CAP, HAP, ISK</w:t>
            </w:r>
          </w:p>
        </w:tc>
        <w:tc>
          <w:tcPr>
            <w:tcW w:type="dxa" w:w="2778"/>
          </w:tcPr>
          <w:p>
            <w:pPr>
              <w:spacing w:after="0" w:line="240" w:lineRule="auto"/>
            </w:pPr>
            <w:r>
              <w:rPr>
                <w:sz w:val="17"/>
              </w:rPr>
            </w:r>
            <w:r>
              <w:rPr>
                <w:sz w:val="17"/>
              </w:rPr>
              <w:t>S. pneumoniae, MSSA, MRSA, M. catarrhalis, H. influenzae, E. coli, P. aeruginosa</w:t>
            </w:r>
          </w:p>
        </w:tc>
        <w:tc>
          <w:tcPr>
            <w:tcW w:type="dxa" w:w="3175"/>
          </w:tcPr>
          <w:p>
            <w:pPr>
              <w:spacing w:after="0" w:line="240" w:lineRule="auto"/>
            </w:pPr>
            <w:r>
              <w:rPr>
                <w:sz w:val="17"/>
              </w:rPr>
            </w:r>
            <w:r>
              <w:rPr>
                <w:sz w:val="17"/>
              </w:rPr>
              <w:t>Amoksisilin, sefiksim, vankomisin, azitromisin, siprofloksasin, levofloksasin, kotrimoksazol</w:t>
            </w:r>
          </w:p>
        </w:tc>
      </w:tr>
      <w:tr>
        <w:tc>
          <w:tcPr>
            <w:tcW w:type="dxa" w:w="737"/>
          </w:tcPr>
          <w:p>
            <w:pPr>
              <w:spacing w:after="0" w:line="240" w:lineRule="auto"/>
            </w:pPr>
            <w:r>
              <w:rPr>
                <w:sz w:val="17"/>
              </w:rPr>
            </w:r>
            <w:r>
              <w:rPr>
                <w:sz w:val="17"/>
              </w:rPr>
              <w:t>7</w:t>
            </w:r>
          </w:p>
        </w:tc>
        <w:tc>
          <w:tcPr>
            <w:tcW w:type="dxa" w:w="2381"/>
          </w:tcPr>
          <w:p>
            <w:pPr>
              <w:spacing w:after="0" w:line="240" w:lineRule="auto"/>
            </w:pPr>
            <w:r>
              <w:rPr>
                <w:sz w:val="17"/>
              </w:rPr>
            </w:r>
            <w:r>
              <w:rPr>
                <w:sz w:val="17"/>
              </w:rPr>
              <w:t>Infeksi ESBL</w:t>
            </w:r>
          </w:p>
        </w:tc>
        <w:tc>
          <w:tcPr>
            <w:tcW w:type="dxa" w:w="2778"/>
          </w:tcPr>
          <w:p>
            <w:pPr>
              <w:spacing w:after="0" w:line="240" w:lineRule="auto"/>
            </w:pPr>
            <w:r>
              <w:rPr>
                <w:sz w:val="17"/>
              </w:rPr>
            </w:r>
            <w:r>
              <w:rPr>
                <w:sz w:val="17"/>
              </w:rPr>
              <w:t>K. pneumoniae ESBL</w:t>
            </w:r>
          </w:p>
        </w:tc>
        <w:tc>
          <w:tcPr>
            <w:tcW w:type="dxa" w:w="3175"/>
          </w:tcPr>
          <w:p>
            <w:pPr>
              <w:spacing w:after="0" w:line="240" w:lineRule="auto"/>
            </w:pPr>
            <w:r>
              <w:rPr>
                <w:sz w:val="17"/>
              </w:rPr>
            </w:r>
            <w:r>
              <w:rPr>
                <w:sz w:val="17"/>
              </w:rPr>
              <w:t>Meropenem</w:t>
            </w:r>
          </w:p>
        </w:tc>
      </w:tr>
      <w:tr>
        <w:tc>
          <w:tcPr>
            <w:tcW w:type="dxa" w:w="737"/>
          </w:tcPr>
          <w:p>
            <w:pPr>
              <w:spacing w:after="0" w:line="240" w:lineRule="auto"/>
            </w:pPr>
            <w:r>
              <w:rPr>
                <w:sz w:val="17"/>
              </w:rPr>
            </w:r>
            <w:r>
              <w:rPr>
                <w:sz w:val="17"/>
              </w:rPr>
              <w:t>8</w:t>
            </w:r>
          </w:p>
        </w:tc>
        <w:tc>
          <w:tcPr>
            <w:tcW w:type="dxa" w:w="2381"/>
          </w:tcPr>
          <w:p>
            <w:pPr>
              <w:spacing w:after="0" w:line="240" w:lineRule="auto"/>
            </w:pPr>
            <w:r>
              <w:rPr>
                <w:sz w:val="17"/>
              </w:rPr>
            </w:r>
            <w:r>
              <w:rPr>
                <w:sz w:val="17"/>
              </w:rPr>
              <w:t>Gonore</w:t>
            </w:r>
          </w:p>
        </w:tc>
        <w:tc>
          <w:tcPr>
            <w:tcW w:type="dxa" w:w="2778"/>
          </w:tcPr>
          <w:p>
            <w:pPr>
              <w:spacing w:after="0" w:line="240" w:lineRule="auto"/>
            </w:pPr>
            <w:r>
              <w:rPr>
                <w:sz w:val="17"/>
              </w:rPr>
            </w:r>
            <w:r>
              <w:rPr>
                <w:sz w:val="17"/>
              </w:rPr>
              <w:t>N. gonorrhoeae</w:t>
            </w:r>
          </w:p>
        </w:tc>
        <w:tc>
          <w:tcPr>
            <w:tcW w:type="dxa" w:w="3175"/>
          </w:tcPr>
          <w:p>
            <w:pPr>
              <w:spacing w:after="0" w:line="240" w:lineRule="auto"/>
            </w:pPr>
            <w:r>
              <w:rPr>
                <w:sz w:val="17"/>
              </w:rPr>
            </w:r>
            <w:r>
              <w:rPr>
                <w:sz w:val="17"/>
              </w:rPr>
              <w:t>Seftriakson</w:t>
            </w:r>
          </w:p>
        </w:tc>
      </w:tr>
      <w:tr>
        <w:tc>
          <w:tcPr>
            <w:tcW w:type="dxa" w:w="737"/>
          </w:tcPr>
          <w:p>
            <w:pPr>
              <w:spacing w:after="0" w:line="240" w:lineRule="auto"/>
            </w:pPr>
            <w:r>
              <w:rPr>
                <w:sz w:val="17"/>
              </w:rPr>
            </w:r>
            <w:r>
              <w:rPr>
                <w:sz w:val="17"/>
              </w:rPr>
              <w:t>9</w:t>
            </w:r>
          </w:p>
        </w:tc>
        <w:tc>
          <w:tcPr>
            <w:tcW w:type="dxa" w:w="2381"/>
          </w:tcPr>
          <w:p>
            <w:pPr>
              <w:spacing w:after="0" w:line="240" w:lineRule="auto"/>
            </w:pPr>
            <w:r>
              <w:rPr>
                <w:sz w:val="17"/>
              </w:rPr>
            </w:r>
            <w:r>
              <w:rPr>
                <w:sz w:val="17"/>
              </w:rPr>
              <w:t>Infeksi VRE</w:t>
            </w:r>
          </w:p>
        </w:tc>
        <w:tc>
          <w:tcPr>
            <w:tcW w:type="dxa" w:w="2778"/>
          </w:tcPr>
          <w:p>
            <w:pPr>
              <w:spacing w:after="0" w:line="240" w:lineRule="auto"/>
            </w:pPr>
            <w:r>
              <w:rPr>
                <w:sz w:val="17"/>
              </w:rPr>
            </w:r>
            <w:r>
              <w:rPr>
                <w:sz w:val="17"/>
              </w:rPr>
              <w:t>E. faecium VRE</w:t>
            </w:r>
          </w:p>
        </w:tc>
        <w:tc>
          <w:tcPr>
            <w:tcW w:type="dxa" w:w="3175"/>
          </w:tcPr>
          <w:p>
            <w:pPr>
              <w:spacing w:after="0" w:line="240" w:lineRule="auto"/>
            </w:pPr>
            <w:r>
              <w:rPr>
                <w:sz w:val="17"/>
              </w:rPr>
            </w:r>
            <w:r>
              <w:rPr>
                <w:sz w:val="17"/>
              </w:rPr>
              <w:t>Linezolid</w:t>
            </w:r>
          </w:p>
        </w:tc>
      </w:tr>
      <w:tr>
        <w:tc>
          <w:tcPr>
            <w:tcW w:type="dxa" w:w="737"/>
          </w:tcPr>
          <w:p>
            <w:pPr>
              <w:spacing w:after="0" w:line="240" w:lineRule="auto"/>
            </w:pPr>
            <w:r>
              <w:rPr>
                <w:sz w:val="17"/>
              </w:rPr>
            </w:r>
            <w:r>
              <w:rPr>
                <w:sz w:val="17"/>
              </w:rPr>
              <w:t>10</w:t>
            </w:r>
          </w:p>
        </w:tc>
        <w:tc>
          <w:tcPr>
            <w:tcW w:type="dxa" w:w="2381"/>
          </w:tcPr>
          <w:p>
            <w:pPr>
              <w:spacing w:after="0" w:line="240" w:lineRule="auto"/>
            </w:pPr>
            <w:r>
              <w:rPr>
                <w:sz w:val="17"/>
              </w:rPr>
            </w:r>
            <w:r>
              <w:rPr>
                <w:sz w:val="17"/>
              </w:rPr>
              <w:t>Tukak lambung/gastritis kronis</w:t>
            </w:r>
          </w:p>
        </w:tc>
        <w:tc>
          <w:tcPr>
            <w:tcW w:type="dxa" w:w="2778"/>
          </w:tcPr>
          <w:p>
            <w:pPr>
              <w:spacing w:after="0" w:line="240" w:lineRule="auto"/>
            </w:pPr>
            <w:r>
              <w:rPr>
                <w:sz w:val="17"/>
              </w:rPr>
            </w:r>
            <w:r>
              <w:rPr>
                <w:sz w:val="17"/>
              </w:rPr>
              <w:t>H. pylori</w:t>
            </w:r>
          </w:p>
        </w:tc>
        <w:tc>
          <w:tcPr>
            <w:tcW w:type="dxa" w:w="3175"/>
          </w:tcPr>
          <w:p>
            <w:pPr>
              <w:spacing w:after="0" w:line="240" w:lineRule="auto"/>
            </w:pPr>
            <w:r>
              <w:rPr>
                <w:sz w:val="17"/>
              </w:rPr>
            </w:r>
            <w:r>
              <w:rPr>
                <w:sz w:val="17"/>
              </w:rPr>
              <w:t>Klaritromisin + amoksisilin</w:t>
            </w:r>
          </w:p>
        </w:tc>
      </w:tr>
      <w:tr>
        <w:tc>
          <w:tcPr>
            <w:tcW w:type="dxa" w:w="737"/>
          </w:tcPr>
          <w:p>
            <w:pPr>
              <w:spacing w:after="0" w:line="240" w:lineRule="auto"/>
            </w:pPr>
            <w:r>
              <w:rPr>
                <w:sz w:val="17"/>
              </w:rPr>
            </w:r>
            <w:r>
              <w:rPr>
                <w:sz w:val="17"/>
              </w:rPr>
              <w:t>11</w:t>
            </w:r>
          </w:p>
        </w:tc>
        <w:tc>
          <w:tcPr>
            <w:tcW w:type="dxa" w:w="2381"/>
          </w:tcPr>
          <w:p>
            <w:pPr>
              <w:spacing w:after="0" w:line="240" w:lineRule="auto"/>
            </w:pPr>
            <w:r>
              <w:rPr>
                <w:sz w:val="17"/>
              </w:rPr>
            </w:r>
            <w:r>
              <w:rPr>
                <w:sz w:val="17"/>
              </w:rPr>
              <w:t>Faringitis streptokokus</w:t>
            </w:r>
          </w:p>
        </w:tc>
        <w:tc>
          <w:tcPr>
            <w:tcW w:type="dxa" w:w="2778"/>
          </w:tcPr>
          <w:p>
            <w:pPr>
              <w:spacing w:after="0" w:line="240" w:lineRule="auto"/>
            </w:pPr>
            <w:r>
              <w:rPr>
                <w:sz w:val="17"/>
              </w:rPr>
            </w:r>
            <w:r>
              <w:rPr>
                <w:sz w:val="17"/>
              </w:rPr>
              <w:t>S. pyogenes</w:t>
            </w:r>
          </w:p>
        </w:tc>
        <w:tc>
          <w:tcPr>
            <w:tcW w:type="dxa" w:w="3175"/>
          </w:tcPr>
          <w:p>
            <w:pPr>
              <w:spacing w:after="0" w:line="240" w:lineRule="auto"/>
            </w:pPr>
            <w:r>
              <w:rPr>
                <w:sz w:val="17"/>
              </w:rPr>
            </w:r>
            <w:r>
              <w:rPr>
                <w:sz w:val="17"/>
              </w:rPr>
              <w:t>Penisilin V</w:t>
            </w:r>
          </w:p>
        </w:tc>
      </w:tr>
      <w:tr>
        <w:tc>
          <w:tcPr>
            <w:tcW w:type="dxa" w:w="737"/>
          </w:tcPr>
          <w:p>
            <w:pPr>
              <w:spacing w:after="0" w:line="240" w:lineRule="auto"/>
            </w:pPr>
            <w:r>
              <w:rPr>
                <w:sz w:val="17"/>
              </w:rPr>
            </w:r>
            <w:r>
              <w:rPr>
                <w:sz w:val="17"/>
              </w:rPr>
              <w:t>12</w:t>
            </w:r>
          </w:p>
        </w:tc>
        <w:tc>
          <w:tcPr>
            <w:tcW w:type="dxa" w:w="2381"/>
          </w:tcPr>
          <w:p>
            <w:pPr>
              <w:spacing w:after="0" w:line="240" w:lineRule="auto"/>
            </w:pPr>
            <w:r>
              <w:rPr>
                <w:sz w:val="17"/>
              </w:rPr>
            </w:r>
            <w:r>
              <w:rPr>
                <w:sz w:val="17"/>
              </w:rPr>
              <w:t>Infeksi CRAB (boss)</w:t>
            </w:r>
          </w:p>
        </w:tc>
        <w:tc>
          <w:tcPr>
            <w:tcW w:type="dxa" w:w="2778"/>
          </w:tcPr>
          <w:p>
            <w:pPr>
              <w:spacing w:after="0" w:line="240" w:lineRule="auto"/>
            </w:pPr>
            <w:r>
              <w:rPr>
                <w:sz w:val="17"/>
              </w:rPr>
            </w:r>
            <w:r>
              <w:rPr>
                <w:sz w:val="17"/>
              </w:rPr>
              <w:t>A. baumannii CRAB</w:t>
            </w:r>
          </w:p>
        </w:tc>
        <w:tc>
          <w:tcPr>
            <w:tcW w:type="dxa" w:w="3175"/>
          </w:tcPr>
          <w:p>
            <w:pPr>
              <w:spacing w:after="0" w:line="240" w:lineRule="auto"/>
            </w:pPr>
            <w:r>
              <w:rPr>
                <w:sz w:val="17"/>
              </w:rPr>
            </w:r>
            <w:r>
              <w:rPr>
                <w:sz w:val="17"/>
              </w:rPr>
              <w:t>Kolistin</w:t>
            </w:r>
          </w:p>
        </w:tc>
      </w:tr>
      <w:tr>
        <w:tc>
          <w:tcPr>
            <w:tcW w:type="dxa" w:w="737"/>
          </w:tcPr>
          <w:p>
            <w:pPr>
              <w:spacing w:after="0" w:line="240" w:lineRule="auto"/>
            </w:pPr>
            <w:r>
              <w:rPr>
                <w:sz w:val="17"/>
              </w:rPr>
            </w:r>
            <w:r>
              <w:rPr>
                <w:sz w:val="17"/>
              </w:rPr>
              <w:t>13</w:t>
            </w:r>
          </w:p>
        </w:tc>
        <w:tc>
          <w:tcPr>
            <w:tcW w:type="dxa" w:w="2381"/>
          </w:tcPr>
          <w:p>
            <w:pPr>
              <w:spacing w:after="0" w:line="240" w:lineRule="auto"/>
            </w:pPr>
            <w:r>
              <w:rPr>
                <w:sz w:val="17"/>
              </w:rPr>
            </w:r>
            <w:r>
              <w:rPr>
                <w:sz w:val="17"/>
              </w:rPr>
              <w:t>Klamidia</w:t>
            </w:r>
          </w:p>
        </w:tc>
        <w:tc>
          <w:tcPr>
            <w:tcW w:type="dxa" w:w="2778"/>
          </w:tcPr>
          <w:p>
            <w:pPr>
              <w:spacing w:after="0" w:line="240" w:lineRule="auto"/>
            </w:pPr>
            <w:r>
              <w:rPr>
                <w:sz w:val="17"/>
              </w:rPr>
            </w:r>
            <w:r>
              <w:rPr>
                <w:sz w:val="17"/>
              </w:rPr>
              <w:t>C. trachomatis</w:t>
            </w:r>
          </w:p>
        </w:tc>
        <w:tc>
          <w:tcPr>
            <w:tcW w:type="dxa" w:w="3175"/>
          </w:tcPr>
          <w:p>
            <w:pPr>
              <w:spacing w:after="0" w:line="240" w:lineRule="auto"/>
            </w:pPr>
            <w:r>
              <w:rPr>
                <w:sz w:val="17"/>
              </w:rPr>
            </w:r>
            <w:r>
              <w:rPr>
                <w:sz w:val="17"/>
              </w:rPr>
              <w:t>Doksisiklin</w:t>
            </w:r>
          </w:p>
        </w:tc>
      </w:tr>
    </w:tbl>
    <w:p>
      <w:pPr>
        <w:spacing w:after="40"/>
      </w:pPr>
    </w:p>
    <w:p>
      <w:pPr>
        <w:pStyle w:val="Heading2"/>
      </w:pPr>
      <w:r>
        <w:t>3.3 Produksi aset visual</w:t>
      </w:r>
    </w:p>
    <w:p>
      <w:pPr>
        <w:ind w:firstLine="425"/>
        <w:jc w:val="both"/>
      </w:pPr>
      <w:r>
        <w:t xml:space="preserve">Karakter antibiotik dirancang dengan gaya </w:t>
      </w:r>
      <w:r>
        <w:rPr>
          <w:i/>
        </w:rPr>
        <w:t>chibi</w:t>
      </w:r>
      <w:r>
        <w:t xml:space="preserve"> seragam dan beranimasi </w:t>
      </w:r>
      <w:r>
        <w:rPr>
          <w:i/>
        </w:rPr>
        <w:t>idle</w:t>
      </w:r>
      <w:r>
        <w:t xml:space="preserve"> serta menembak, dengan setiap antibiotik memiliki skema warna dan properti khas (mis. ampul sebagai proyektil). Bakteri divisualisasikan dengan siluet sesuai morfologi aslinya (basilus berkapsul, diplokokus, kokus berantai, spiral, bentuk intraseluler) agar pemain sekaligus belajar mengenali bentuk bakteri. </w:t>
      </w:r>
      <w:r>
        <w:rPr>
          <w:highlight w:val="yellow"/>
        </w:rPr>
        <w:t>[Tambahkan gambar tangkapan layar: karakter, bakteri, gameplay, peta level.]</w:t>
      </w:r>
    </w:p>
    <w:p>
      <w:pPr>
        <w:pStyle w:val="Heading1"/>
      </w:pPr>
      <w:r>
        <w:t>4. Hasil Implementasi</w:t>
      </w:r>
    </w:p>
    <w:p>
      <w:pPr>
        <w:ind w:firstLine="425"/>
        <w:jc w:val="both"/>
      </w:pPr>
      <w:r>
        <w:t>Prototipe diimplementasikan di Unity dengan antarmuka yang mencakup menu utama, pemilihan mode, peta level (</w:t>
      </w:r>
      <w:r>
        <w:rPr>
          <w:i/>
        </w:rPr>
        <w:t>Level Map</w:t>
      </w:r>
      <w:r>
        <w:t xml:space="preserve">) dengan stage pada jalur horizontal, mode cerita, mode </w:t>
      </w:r>
      <w:r>
        <w:rPr>
          <w:i/>
        </w:rPr>
        <w:t>Endless</w:t>
      </w:r>
      <w:r>
        <w:t xml:space="preserve">, dan papan peringkat. Status implementasi saat penulisan draft ini </w:t>
      </w:r>
      <w:r>
        <w:rPr>
          <w:highlight w:val="yellow"/>
        </w:rPr>
        <w:t>[perbarui tanggal]</w:t>
      </w:r>
      <w:r>
        <w:t>:</w:t>
      </w:r>
    </w:p>
    <w:p>
      <w:pPr>
        <w:keepNext/>
        <w:spacing w:after="80"/>
        <w:jc w:val="center"/>
      </w:pPr>
      <w:r>
        <w:rPr>
          <w:b/>
          <w:sz w:val="20"/>
        </w:rPr>
        <w:t>Tabel 3. Status implementasi komponen</w:t>
      </w:r>
    </w:p>
    <w:tbl>
      <w:tblPr>
        <w:tblStyle w:val="TableGrid"/>
        <w:tblW w:type="auto" w:w="0"/>
        <w:jc w:val="center"/>
        <w:tblLook w:firstColumn="1" w:firstRow="1" w:lastColumn="0" w:lastRow="0" w:noHBand="0" w:noVBand="1" w:val="04A0"/>
        <w:tblCellMar>
          <w:top w:w="30" w:type="dxa"/>
          <w:bottom w:w="30" w:type="dxa"/>
          <w:left w:w="60" w:type="dxa"/>
          <w:right w:w="60" w:type="dxa"/>
        </w:tblCellMar>
      </w:tblPr>
      <w:tblGrid>
        <w:gridCol w:w="4536"/>
        <w:gridCol w:w="4536"/>
      </w:tblGrid>
      <w:tr>
        <w:tc>
          <w:tcPr>
            <w:tcW w:type="dxa" w:w="3118"/>
            <w:shd w:val="clear" w:color="auto" w:fill="D9D9D9"/>
          </w:tcPr>
          <w:p>
            <w:pPr>
              <w:spacing w:after="0" w:line="240" w:lineRule="auto"/>
            </w:pPr>
            <w:r>
              <w:rPr>
                <w:b/>
                <w:sz w:val="18"/>
              </w:rPr>
            </w:r>
            <w:r>
              <w:rPr>
                <w:b/>
                <w:sz w:val="18"/>
              </w:rPr>
              <w:t>Komponen</w:t>
            </w:r>
          </w:p>
        </w:tc>
        <w:tc>
          <w:tcPr>
            <w:tcW w:type="dxa" w:w="5953"/>
            <w:shd w:val="clear" w:color="auto" w:fill="D9D9D9"/>
          </w:tcPr>
          <w:p>
            <w:pPr>
              <w:spacing w:after="0" w:line="240" w:lineRule="auto"/>
            </w:pPr>
            <w:r>
              <w:rPr>
                <w:b/>
                <w:sz w:val="18"/>
              </w:rPr>
            </w:r>
            <w:r>
              <w:rPr>
                <w:b/>
                <w:sz w:val="18"/>
              </w:rPr>
              <w:t>Status</w:t>
            </w:r>
          </w:p>
        </w:tc>
      </w:tr>
      <w:tr>
        <w:tc>
          <w:tcPr>
            <w:tcW w:type="dxa" w:w="3118"/>
          </w:tcPr>
          <w:p>
            <w:pPr>
              <w:spacing w:after="0" w:line="240" w:lineRule="auto"/>
            </w:pPr>
            <w:r>
              <w:rPr>
                <w:sz w:val="18"/>
              </w:rPr>
            </w:r>
            <w:r>
              <w:rPr>
                <w:sz w:val="18"/>
              </w:rPr>
              <w:t>Stage 1–6 (7 pasangan awal)</w:t>
            </w:r>
          </w:p>
        </w:tc>
        <w:tc>
          <w:tcPr>
            <w:tcW w:type="dxa" w:w="5953"/>
          </w:tcPr>
          <w:p>
            <w:pPr>
              <w:spacing w:after="0" w:line="240" w:lineRule="auto"/>
            </w:pPr>
            <w:r>
              <w:rPr>
                <w:sz w:val="18"/>
              </w:rPr>
            </w:r>
            <w:r>
              <w:rPr>
                <w:sz w:val="18"/>
              </w:rPr>
              <w:t>Gameplay penuh, aset final</w:t>
            </w:r>
          </w:p>
        </w:tc>
      </w:tr>
      <w:tr>
        <w:tc>
          <w:tcPr>
            <w:tcW w:type="dxa" w:w="3118"/>
          </w:tcPr>
          <w:p>
            <w:pPr>
              <w:spacing w:after="0" w:line="240" w:lineRule="auto"/>
            </w:pPr>
            <w:r>
              <w:rPr>
                <w:sz w:val="18"/>
              </w:rPr>
            </w:r>
            <w:r>
              <w:rPr>
                <w:sz w:val="18"/>
              </w:rPr>
              <w:t>Stage 7–12</w:t>
            </w:r>
          </w:p>
        </w:tc>
        <w:tc>
          <w:tcPr>
            <w:tcW w:type="dxa" w:w="5953"/>
          </w:tcPr>
          <w:p>
            <w:pPr>
              <w:spacing w:after="0" w:line="240" w:lineRule="auto"/>
            </w:pPr>
            <w:r>
              <w:rPr>
                <w:sz w:val="18"/>
              </w:rPr>
            </w:r>
            <w:r>
              <w:rPr>
                <w:sz w:val="18"/>
              </w:rPr>
              <w:t xml:space="preserve">Scene tersedia; sebagian masih memakai karakter/bakteri lama sebagai </w:t>
            </w:r>
            <w:r>
              <w:rPr>
                <w:i/>
                <w:sz w:val="18"/>
              </w:rPr>
              <w:t>placeholder</w:t>
            </w:r>
            <w:r>
              <w:rPr>
                <w:sz w:val="18"/>
              </w:rPr>
              <w:t xml:space="preserve"> (Stage 7 sudah memakai meropenem final)</w:t>
            </w:r>
          </w:p>
        </w:tc>
      </w:tr>
      <w:tr>
        <w:tc>
          <w:tcPr>
            <w:tcW w:type="dxa" w:w="3118"/>
          </w:tcPr>
          <w:p>
            <w:pPr>
              <w:spacing w:after="0" w:line="240" w:lineRule="auto"/>
            </w:pPr>
            <w:r>
              <w:rPr>
                <w:sz w:val="18"/>
              </w:rPr>
            </w:r>
            <w:r>
              <w:rPr>
                <w:sz w:val="18"/>
              </w:rPr>
              <w:t>Stage 13</w:t>
            </w:r>
          </w:p>
        </w:tc>
        <w:tc>
          <w:tcPr>
            <w:tcW w:type="dxa" w:w="5953"/>
          </w:tcPr>
          <w:p>
            <w:pPr>
              <w:spacing w:after="0" w:line="240" w:lineRule="auto"/>
            </w:pPr>
            <w:r>
              <w:rPr>
                <w:sz w:val="18"/>
              </w:rPr>
            </w:r>
            <w:r>
              <w:rPr>
                <w:sz w:val="18"/>
              </w:rPr>
              <w:t>Scene belum dibuat</w:t>
            </w:r>
          </w:p>
        </w:tc>
      </w:tr>
      <w:tr>
        <w:tc>
          <w:tcPr>
            <w:tcW w:type="dxa" w:w="3118"/>
          </w:tcPr>
          <w:p>
            <w:pPr>
              <w:spacing w:after="0" w:line="240" w:lineRule="auto"/>
            </w:pPr>
            <w:r>
              <w:rPr>
                <w:sz w:val="18"/>
              </w:rPr>
            </w:r>
            <w:r>
              <w:rPr>
                <w:sz w:val="18"/>
              </w:rPr>
              <w:t>Karakter antibiotik baru (7)</w:t>
            </w:r>
          </w:p>
        </w:tc>
        <w:tc>
          <w:tcPr>
            <w:tcW w:type="dxa" w:w="5953"/>
          </w:tcPr>
          <w:p>
            <w:pPr>
              <w:spacing w:after="0" w:line="240" w:lineRule="auto"/>
            </w:pPr>
            <w:r>
              <w:rPr>
                <w:sz w:val="18"/>
              </w:rPr>
            </w:r>
            <w:r>
              <w:rPr>
                <w:sz w:val="18"/>
              </w:rPr>
              <w:t>Aset dan animasi selesai; prefab tersedia; proyektil khusus belum</w:t>
            </w:r>
          </w:p>
        </w:tc>
      </w:tr>
      <w:tr>
        <w:tc>
          <w:tcPr>
            <w:tcW w:type="dxa" w:w="3118"/>
          </w:tcPr>
          <w:p>
            <w:pPr>
              <w:spacing w:after="0" w:line="240" w:lineRule="auto"/>
            </w:pPr>
            <w:r>
              <w:rPr>
                <w:sz w:val="18"/>
              </w:rPr>
            </w:r>
            <w:r>
              <w:rPr>
                <w:sz w:val="18"/>
              </w:rPr>
              <w:t>Bakteri baru (7)</w:t>
            </w:r>
          </w:p>
        </w:tc>
        <w:tc>
          <w:tcPr>
            <w:tcW w:type="dxa" w:w="5953"/>
          </w:tcPr>
          <w:p>
            <w:pPr>
              <w:spacing w:after="0" w:line="240" w:lineRule="auto"/>
            </w:pPr>
            <w:r>
              <w:rPr>
                <w:sz w:val="18"/>
              </w:rPr>
            </w:r>
            <w:r>
              <w:rPr>
                <w:sz w:val="18"/>
              </w:rPr>
              <w:t>Rancangan bentuk dan warna selesai; aset gambar dalam produksi</w:t>
            </w:r>
          </w:p>
        </w:tc>
      </w:tr>
      <w:tr>
        <w:tc>
          <w:tcPr>
            <w:tcW w:type="dxa" w:w="3118"/>
          </w:tcPr>
          <w:p>
            <w:pPr>
              <w:spacing w:after="0" w:line="240" w:lineRule="auto"/>
            </w:pPr>
            <w:r>
              <w:rPr>
                <w:sz w:val="18"/>
              </w:rPr>
            </w:r>
            <w:r>
              <w:rPr>
                <w:sz w:val="18"/>
              </w:rPr>
              <w:t>Sinkronisasi matriks 14×14 ke kode</w:t>
            </w:r>
          </w:p>
        </w:tc>
        <w:tc>
          <w:tcPr>
            <w:tcW w:type="dxa" w:w="5953"/>
          </w:tcPr>
          <w:p>
            <w:pPr>
              <w:spacing w:after="0" w:line="240" w:lineRule="auto"/>
            </w:pPr>
            <w:r>
              <w:rPr>
                <w:sz w:val="18"/>
              </w:rPr>
            </w:r>
            <w:r>
              <w:rPr>
                <w:sz w:val="18"/>
              </w:rPr>
              <w:t>Parsial: nilai meropenem sudah mengikuti matriks; sisanya per-warna manual</w:t>
            </w:r>
          </w:p>
        </w:tc>
      </w:tr>
      <w:tr>
        <w:tc>
          <w:tcPr>
            <w:tcW w:type="dxa" w:w="3118"/>
          </w:tcPr>
          <w:p>
            <w:pPr>
              <w:spacing w:after="0" w:line="240" w:lineRule="auto"/>
            </w:pPr>
            <w:r>
              <w:rPr>
                <w:sz w:val="18"/>
              </w:rPr>
            </w:r>
            <w:r>
              <w:rPr>
                <w:sz w:val="18"/>
              </w:rPr>
              <w:t xml:space="preserve">Mode </w:t>
            </w:r>
            <w:r>
              <w:rPr>
                <w:i/>
                <w:sz w:val="18"/>
              </w:rPr>
              <w:t>Endless</w:t>
            </w:r>
          </w:p>
        </w:tc>
        <w:tc>
          <w:tcPr>
            <w:tcW w:type="dxa" w:w="5953"/>
          </w:tcPr>
          <w:p>
            <w:pPr>
              <w:spacing w:after="0" w:line="240" w:lineRule="auto"/>
            </w:pPr>
            <w:r>
              <w:rPr>
                <w:sz w:val="18"/>
              </w:rPr>
            </w:r>
            <w:r>
              <w:rPr>
                <w:sz w:val="18"/>
              </w:rPr>
              <w:t>Tersedia (skor, papan peringkat); elemen acak/pengganda poin direncanakan</w:t>
            </w:r>
          </w:p>
        </w:tc>
      </w:tr>
    </w:tbl>
    <w:p>
      <w:pPr>
        <w:spacing w:after="40"/>
      </w:pPr>
    </w:p>
    <w:p>
      <w:pPr>
        <w:ind w:firstLine="425"/>
        <w:jc w:val="both"/>
      </w:pPr>
      <w:r>
        <w:rPr>
          <w:highlight w:val="yellow"/>
        </w:rPr>
        <w:t>[Sisipkan tangkapan layar gameplay, popup efektivitas, label nama spesies, peta level, dan mode Endless.]</w:t>
      </w:r>
    </w:p>
    <w:p>
      <w:pPr>
        <w:pStyle w:val="Heading1"/>
      </w:pPr>
      <w:r>
        <w:t>5. Evaluasi</w:t>
      </w:r>
    </w:p>
    <w:p>
      <w:pPr>
        <w:ind w:firstLine="425"/>
        <w:jc w:val="both"/>
      </w:pPr>
      <w:r>
        <w:rPr>
          <w:b/>
        </w:rPr>
        <w:t>[[BAGIAN INI BELUM ADA DATA. Tidak ada hasil uji coba pengguna di project saat draft ini dibuat.]]</w:t>
      </w:r>
      <w:r>
        <w:t xml:space="preserve"> Kerangka evaluasi yang disarankan sebagai berikut.</w:t>
      </w:r>
    </w:p>
    <w:p>
      <w:pPr>
        <w:jc w:val="both"/>
      </w:pPr>
      <w:r>
        <w:rPr>
          <w:b/>
        </w:rPr>
        <w:t>Desain.</w:t>
      </w:r>
      <w:r>
        <w:t xml:space="preserve"> </w:t>
      </w:r>
      <w:r>
        <w:rPr>
          <w:highlight w:val="yellow"/>
        </w:rPr>
        <w:t>[Pilih: pre-test/post-test satu kelompok, atau dua kelompok (game vs materi teks).]</w:t>
      </w:r>
      <w:r>
        <w:t xml:space="preserve"> Responden: </w:t>
      </w:r>
      <w:r>
        <w:rPr>
          <w:highlight w:val="yellow"/>
        </w:rPr>
        <w:t>[N, karakteristik, mis. mahasiswa farmasi/kedokteran/umum]</w:t>
      </w:r>
      <w:r>
        <w:t xml:space="preserve">. Instrumen: (a) tes pengetahuan pemilihan antibiotik–bakteri </w:t>
      </w:r>
      <w:r>
        <w:rPr>
          <w:highlight w:val="yellow"/>
        </w:rPr>
        <w:t>[jumlah butir, validasi isi oleh ahli]</w:t>
      </w:r>
      <w:r>
        <w:t xml:space="preserve">; (b) </w:t>
      </w:r>
      <w:r>
        <w:rPr>
          <w:i/>
        </w:rPr>
        <w:t>System Usability Scale</w:t>
      </w:r>
      <w:r>
        <w:t xml:space="preserve"> (SUS) untuk kebergunaan; (c) kuesioner pengalaman bermain/keterlibatan </w:t>
      </w:r>
      <w:r>
        <w:rPr>
          <w:highlight w:val="yellow"/>
        </w:rPr>
        <w:t>[mis. GEQ atau instrumen sejenis]</w:t>
      </w:r>
      <w:r>
        <w:t xml:space="preserve">. Analisis: </w:t>
      </w:r>
      <w:r>
        <w:rPr>
          <w:highlight w:val="yellow"/>
        </w:rPr>
        <w:t>[uji t berpasangan/Wilcoxon untuk skor pre-post, statistik deskriptif SUS]</w:t>
      </w:r>
      <w:r>
        <w:t>.</w:t>
      </w:r>
    </w:p>
    <w:p>
      <w:pPr>
        <w:keepNext/>
        <w:spacing w:after="80"/>
        <w:jc w:val="center"/>
      </w:pPr>
      <w:r>
        <w:rPr>
          <w:b/>
          <w:sz w:val="20"/>
        </w:rPr>
        <w:t>Tabel 4. Hasil evaluasi (isi setelah pengambilan data)</w:t>
      </w:r>
    </w:p>
    <w:tbl>
      <w:tblPr>
        <w:tblStyle w:val="TableGrid"/>
        <w:tblW w:type="auto" w:w="0"/>
        <w:jc w:val="center"/>
        <w:tblLook w:firstColumn="1" w:firstRow="1" w:lastColumn="0" w:lastRow="0" w:noHBand="0" w:noVBand="1" w:val="04A0"/>
        <w:tblCellMar>
          <w:top w:w="30" w:type="dxa"/>
          <w:bottom w:w="30" w:type="dxa"/>
          <w:left w:w="60" w:type="dxa"/>
          <w:right w:w="60" w:type="dxa"/>
        </w:tblCellMar>
      </w:tblPr>
      <w:tblGrid>
        <w:gridCol w:w="2268"/>
        <w:gridCol w:w="2268"/>
        <w:gridCol w:w="2268"/>
        <w:gridCol w:w="2268"/>
      </w:tblGrid>
      <w:tr>
        <w:tc>
          <w:tcPr>
            <w:tcW w:type="dxa" w:w="3685"/>
            <w:shd w:val="clear" w:color="auto" w:fill="D9D9D9"/>
          </w:tcPr>
          <w:p>
            <w:pPr>
              <w:spacing w:after="0" w:line="240" w:lineRule="auto"/>
            </w:pPr>
            <w:r>
              <w:rPr>
                <w:b/>
                <w:sz w:val="18"/>
              </w:rPr>
            </w:r>
            <w:r>
              <w:rPr>
                <w:b/>
                <w:sz w:val="18"/>
              </w:rPr>
              <w:t>Ukuran</w:t>
            </w:r>
          </w:p>
        </w:tc>
        <w:tc>
          <w:tcPr>
            <w:tcW w:type="dxa" w:w="1701"/>
            <w:shd w:val="clear" w:color="auto" w:fill="D9D9D9"/>
          </w:tcPr>
          <w:p>
            <w:pPr>
              <w:spacing w:after="0" w:line="240" w:lineRule="auto"/>
              <w:jc w:val="center"/>
            </w:pPr>
            <w:r>
              <w:rPr>
                <w:b/>
                <w:sz w:val="18"/>
              </w:rPr>
            </w:r>
            <w:r>
              <w:rPr>
                <w:b/>
                <w:sz w:val="18"/>
              </w:rPr>
              <w:t>Pre-test</w:t>
            </w:r>
          </w:p>
        </w:tc>
        <w:tc>
          <w:tcPr>
            <w:tcW w:type="dxa" w:w="1701"/>
            <w:shd w:val="clear" w:color="auto" w:fill="D9D9D9"/>
          </w:tcPr>
          <w:p>
            <w:pPr>
              <w:spacing w:after="0" w:line="240" w:lineRule="auto"/>
              <w:jc w:val="center"/>
            </w:pPr>
            <w:r>
              <w:rPr>
                <w:b/>
                <w:sz w:val="18"/>
              </w:rPr>
            </w:r>
            <w:r>
              <w:rPr>
                <w:b/>
                <w:sz w:val="18"/>
              </w:rPr>
              <w:t>Post-test</w:t>
            </w:r>
          </w:p>
        </w:tc>
        <w:tc>
          <w:tcPr>
            <w:tcW w:type="dxa" w:w="1984"/>
            <w:shd w:val="clear" w:color="auto" w:fill="D9D9D9"/>
          </w:tcPr>
          <w:p>
            <w:pPr>
              <w:spacing w:after="0" w:line="240" w:lineRule="auto"/>
              <w:jc w:val="center"/>
            </w:pPr>
            <w:r>
              <w:rPr>
                <w:b/>
                <w:sz w:val="18"/>
              </w:rPr>
            </w:r>
            <w:r>
              <w:rPr>
                <w:b/>
                <w:sz w:val="18"/>
              </w:rPr>
              <w:t>p / skor</w:t>
            </w:r>
          </w:p>
        </w:tc>
      </w:tr>
      <w:tr>
        <w:tc>
          <w:tcPr>
            <w:tcW w:type="dxa" w:w="3685"/>
          </w:tcPr>
          <w:p>
            <w:pPr>
              <w:spacing w:after="0" w:line="240" w:lineRule="auto"/>
            </w:pPr>
            <w:r>
              <w:rPr>
                <w:sz w:val="18"/>
              </w:rPr>
            </w:r>
            <w:r>
              <w:rPr>
                <w:sz w:val="18"/>
              </w:rPr>
              <w:t>Skor pengetahuan (rata-rata ± SD)</w:t>
            </w:r>
          </w:p>
        </w:tc>
        <w:tc>
          <w:tcPr>
            <w:tcW w:type="dxa" w:w="1701"/>
          </w:tcPr>
          <w:p>
            <w:pPr>
              <w:spacing w:after="0" w:line="240" w:lineRule="auto"/>
              <w:jc w:val="center"/>
            </w:pPr>
            <w:r>
              <w:rPr>
                <w:sz w:val="18"/>
              </w:rPr>
            </w:r>
            <w:r>
              <w:rPr>
                <w:sz w:val="18"/>
                <w:highlight w:val="yellow"/>
              </w:rPr>
              <w:t>[ ]</w:t>
            </w:r>
          </w:p>
        </w:tc>
        <w:tc>
          <w:tcPr>
            <w:tcW w:type="dxa" w:w="1701"/>
          </w:tcPr>
          <w:p>
            <w:pPr>
              <w:spacing w:after="0" w:line="240" w:lineRule="auto"/>
              <w:jc w:val="center"/>
            </w:pPr>
            <w:r>
              <w:rPr>
                <w:sz w:val="18"/>
              </w:rPr>
            </w:r>
            <w:r>
              <w:rPr>
                <w:sz w:val="18"/>
                <w:highlight w:val="yellow"/>
              </w:rPr>
              <w:t>[ ]</w:t>
            </w:r>
          </w:p>
        </w:tc>
        <w:tc>
          <w:tcPr>
            <w:tcW w:type="dxa" w:w="1984"/>
          </w:tcPr>
          <w:p>
            <w:pPr>
              <w:spacing w:after="0" w:line="240" w:lineRule="auto"/>
              <w:jc w:val="center"/>
            </w:pPr>
            <w:r>
              <w:rPr>
                <w:sz w:val="18"/>
              </w:rPr>
            </w:r>
            <w:r>
              <w:rPr>
                <w:sz w:val="18"/>
                <w:highlight w:val="yellow"/>
              </w:rPr>
              <w:t>[ ]</w:t>
            </w:r>
          </w:p>
        </w:tc>
      </w:tr>
      <w:tr>
        <w:tc>
          <w:tcPr>
            <w:tcW w:type="dxa" w:w="3685"/>
          </w:tcPr>
          <w:p>
            <w:pPr>
              <w:spacing w:after="0" w:line="240" w:lineRule="auto"/>
            </w:pPr>
            <w:r>
              <w:rPr>
                <w:sz w:val="18"/>
              </w:rPr>
            </w:r>
            <w:r>
              <w:rPr>
                <w:sz w:val="18"/>
              </w:rPr>
              <w:t>Skor SUS</w:t>
            </w:r>
          </w:p>
        </w:tc>
        <w:tc>
          <w:tcPr>
            <w:tcW w:type="dxa" w:w="1701"/>
          </w:tcPr>
          <w:p>
            <w:pPr>
              <w:spacing w:after="0" w:line="240" w:lineRule="auto"/>
              <w:jc w:val="center"/>
            </w:pPr>
            <w:r>
              <w:rPr>
                <w:sz w:val="18"/>
              </w:rPr>
            </w:r>
            <w:r>
              <w:rPr>
                <w:sz w:val="18"/>
              </w:rPr>
              <w:t>-</w:t>
            </w:r>
          </w:p>
        </w:tc>
        <w:tc>
          <w:tcPr>
            <w:tcW w:type="dxa" w:w="1701"/>
          </w:tcPr>
          <w:p>
            <w:pPr>
              <w:spacing w:after="0" w:line="240" w:lineRule="auto"/>
              <w:jc w:val="center"/>
            </w:pPr>
            <w:r>
              <w:rPr>
                <w:sz w:val="18"/>
              </w:rPr>
            </w:r>
            <w:r>
              <w:rPr>
                <w:sz w:val="18"/>
                <w:highlight w:val="yellow"/>
              </w:rPr>
              <w:t>[ ]</w:t>
            </w:r>
          </w:p>
        </w:tc>
        <w:tc>
          <w:tcPr>
            <w:tcW w:type="dxa" w:w="1984"/>
          </w:tcPr>
          <w:p>
            <w:pPr>
              <w:spacing w:after="0" w:line="240" w:lineRule="auto"/>
              <w:jc w:val="center"/>
            </w:pPr>
            <w:r>
              <w:rPr>
                <w:sz w:val="18"/>
              </w:rPr>
            </w:r>
            <w:r>
              <w:rPr>
                <w:sz w:val="18"/>
                <w:highlight w:val="yellow"/>
              </w:rPr>
              <w:t>[ ]</w:t>
            </w:r>
          </w:p>
        </w:tc>
      </w:tr>
      <w:tr>
        <w:tc>
          <w:tcPr>
            <w:tcW w:type="dxa" w:w="3685"/>
          </w:tcPr>
          <w:p>
            <w:pPr>
              <w:spacing w:after="0" w:line="240" w:lineRule="auto"/>
            </w:pPr>
            <w:r>
              <w:rPr>
                <w:sz w:val="18"/>
              </w:rPr>
            </w:r>
            <w:r>
              <w:rPr>
                <w:sz w:val="18"/>
              </w:rPr>
              <w:t>Keterlibatan</w:t>
            </w:r>
          </w:p>
        </w:tc>
        <w:tc>
          <w:tcPr>
            <w:tcW w:type="dxa" w:w="1701"/>
          </w:tcPr>
          <w:p>
            <w:pPr>
              <w:spacing w:after="0" w:line="240" w:lineRule="auto"/>
              <w:jc w:val="center"/>
            </w:pPr>
            <w:r>
              <w:rPr>
                <w:sz w:val="18"/>
              </w:rPr>
            </w:r>
            <w:r>
              <w:rPr>
                <w:sz w:val="18"/>
              </w:rPr>
              <w:t>-</w:t>
            </w:r>
          </w:p>
        </w:tc>
        <w:tc>
          <w:tcPr>
            <w:tcW w:type="dxa" w:w="1701"/>
          </w:tcPr>
          <w:p>
            <w:pPr>
              <w:spacing w:after="0" w:line="240" w:lineRule="auto"/>
              <w:jc w:val="center"/>
            </w:pPr>
            <w:r>
              <w:rPr>
                <w:sz w:val="18"/>
              </w:rPr>
            </w:r>
            <w:r>
              <w:rPr>
                <w:sz w:val="18"/>
                <w:highlight w:val="yellow"/>
              </w:rPr>
              <w:t>[ ]</w:t>
            </w:r>
          </w:p>
        </w:tc>
        <w:tc>
          <w:tcPr>
            <w:tcW w:type="dxa" w:w="1984"/>
          </w:tcPr>
          <w:p>
            <w:pPr>
              <w:spacing w:after="0" w:line="240" w:lineRule="auto"/>
              <w:jc w:val="center"/>
            </w:pPr>
            <w:r>
              <w:rPr>
                <w:sz w:val="18"/>
              </w:rPr>
            </w:r>
            <w:r>
              <w:rPr>
                <w:sz w:val="18"/>
                <w:highlight w:val="yellow"/>
              </w:rPr>
              <w:t>[ ]</w:t>
            </w:r>
          </w:p>
        </w:tc>
      </w:tr>
    </w:tbl>
    <w:p>
      <w:pPr>
        <w:spacing w:after="40"/>
      </w:pPr>
    </w:p>
    <w:p>
      <w:pPr>
        <w:pStyle w:val="Heading1"/>
      </w:pPr>
      <w:r>
        <w:t>6. Pembahasan</w:t>
      </w:r>
    </w:p>
    <w:p>
      <w:pPr>
        <w:ind w:firstLine="425"/>
        <w:jc w:val="both"/>
      </w:pPr>
      <w:r>
        <w:t xml:space="preserve">Kekuatan pendekatan ini adalah pemetaan langsung antara pengambilan keputusan klinis dan mekanik inti game: pasangan antibiotik–bakteri yang tepat menghasilkan damage penuh, pasangan yang salah tidak berefek. Nilai 0 pada kasus resistensi (vankomisin vs VRE, meropenem vs CRAB) memberikan momen pembelajaran yang sulit diperoleh dari tabel. </w:t>
      </w:r>
      <w:r>
        <w:rPr>
          <w:highlight w:val="yellow"/>
        </w:rPr>
        <w:t>[Bahas hasil evaluasi setelah data ada: apakah skor pengetahuan meningkat, aspek mana yang paling dikuasai, umpan balik pemain.]</w:t>
      </w:r>
    </w:p>
    <w:p>
      <w:pPr>
        <w:ind w:firstLine="425"/>
        <w:jc w:val="both"/>
      </w:pPr>
      <w:r>
        <w:rPr>
          <w:b/>
        </w:rPr>
        <w:t>Keterbatasan.</w:t>
      </w:r>
      <w:r>
        <w:t xml:space="preserve"> (1) Nilai matriks adalah penyederhanaan didaktis dari data klinis dan tidak menggantikan pedoman terapi; terapi kombinasi (mis. H. pylori) dan pertimbangan efek samping, dosis, serta kondisi pasien belum dimodelkan. (2) Sebagian stage masih memakai aset </w:t>
      </w:r>
      <w:r>
        <w:rPr>
          <w:i/>
        </w:rPr>
        <w:t>placeholder</w:t>
      </w:r>
      <w:r>
        <w:t xml:space="preserve">. (3) Evaluasi pembelajaran </w:t>
      </w:r>
      <w:r>
        <w:rPr>
          <w:highlight w:val="yellow"/>
        </w:rPr>
        <w:t>[belum dilakukan / terbatas pada N responden]</w:t>
      </w:r>
      <w:r>
        <w:t>. (4) Sinkronisasi penuh matriks 14×14 ke kode belum selesai.</w:t>
      </w:r>
    </w:p>
    <w:p>
      <w:pPr>
        <w:pStyle w:val="Heading1"/>
      </w:pPr>
      <w:r>
        <w:t>7. Kesimpulan dan Saran</w:t>
      </w:r>
    </w:p>
    <w:p>
      <w:pPr>
        <w:ind w:firstLine="425"/>
        <w:jc w:val="both"/>
      </w:pPr>
      <w:r>
        <w:t xml:space="preserve">MicroNexus mendemonstrasikan bahwa matriks efektivitas antibiotik–bakteri dapat diterjemahkan menjadi mekanik </w:t>
      </w:r>
      <w:r>
        <w:rPr>
          <w:i/>
        </w:rPr>
        <w:t>tower defense</w:t>
      </w:r>
      <w:r>
        <w:t xml:space="preserve"> yang mengajarkan spesifisitas antibiotik dan dampak resistensi lewat konsekuensi langsung. Pekerjaan lanjutan meliputi penyelesaian aset bakteri dan stage 7–13, perombakan tampilan karakter antibiotik lama agar seragam dengan roster baru, penambahan elemen acak pada mode </w:t>
      </w:r>
      <w:r>
        <w:rPr>
          <w:i/>
        </w:rPr>
        <w:t>Endless</w:t>
      </w:r>
      <w:r>
        <w:t xml:space="preserve"> (mis. pemicu pengganda poin), serta evaluasi pembelajaran berskala lebih besar. </w:t>
      </w:r>
      <w:r>
        <w:rPr>
          <w:highlight w:val="yellow"/>
        </w:rPr>
        <w:t>[Sesuaikan kesimpulan dengan hasil evaluasi.]</w:t>
      </w:r>
    </w:p>
    <w:p>
      <w:pPr>
        <w:pStyle w:val="Heading1"/>
      </w:pPr>
      <w:r>
        <w:t>Ucapan Terima Kasih</w:t>
      </w:r>
    </w:p>
    <w:p>
      <w:pPr>
        <w:ind w:firstLine="425"/>
        <w:jc w:val="both"/>
      </w:pPr>
      <w:r>
        <w:rPr>
          <w:highlight w:val="yellow"/>
        </w:rPr>
        <w:t>[Isi: pembimbing, pemberi materi/ahli farmasi atau mikrobiologi yang memvalidasi matriks, responden.]</w:t>
      </w:r>
    </w:p>
    <w:p>
      <w:pPr>
        <w:pStyle w:val="Heading1"/>
      </w:pPr>
      <w:r>
        <w:t>Daftar Pustaka</w:t>
      </w:r>
    </w:p>
    <w:p>
      <w:pPr>
        <w:ind w:left="425" w:hanging="425"/>
        <w:jc w:val="left"/>
      </w:pPr>
      <w:r>
        <w:t xml:space="preserve">[1] Antimicrobial Resistance Collaborators. Global burden of bacterial antimicrobial resistance in 2019: a systematic analysis. </w:t>
      </w:r>
      <w:r>
        <w:rPr>
          <w:i/>
        </w:rPr>
        <w:t>The Lancet</w:t>
      </w:r>
      <w:r>
        <w:t xml:space="preserve">. 2022;399(10325):629-655. </w:t>
      </w:r>
      <w:r>
        <w:rPr>
          <w:highlight w:val="yellow"/>
        </w:rPr>
        <w:t>[verifikasi detail sitasi]</w:t>
      </w:r>
    </w:p>
    <w:p>
      <w:pPr>
        <w:ind w:left="425" w:hanging="425"/>
        <w:jc w:val="left"/>
      </w:pPr>
      <w:r>
        <w:t xml:space="preserve">[2] World Health Organization. </w:t>
      </w:r>
      <w:r>
        <w:rPr>
          <w:i/>
        </w:rPr>
        <w:t>WHO Bacterial Priority Pathogens List, 2024</w:t>
      </w:r>
      <w:r>
        <w:t xml:space="preserve">. Geneva: WHO; 2024. </w:t>
      </w:r>
      <w:r>
        <w:rPr>
          <w:highlight w:val="yellow"/>
        </w:rPr>
        <w:t>[verifikasi]</w:t>
      </w:r>
    </w:p>
    <w:p>
      <w:pPr>
        <w:ind w:left="425" w:hanging="425"/>
        <w:jc w:val="left"/>
      </w:pPr>
      <w:r>
        <w:t xml:space="preserve">[3] Workowski KA, et al. Sexually Transmitted Infections Treatment Guidelines, 2021. </w:t>
      </w:r>
      <w:r>
        <w:rPr>
          <w:i/>
        </w:rPr>
        <w:t>MMWR Recomm Rep</w:t>
      </w:r>
      <w:r>
        <w:t xml:space="preserve">. 2021;70(4):1-187. </w:t>
      </w:r>
      <w:r>
        <w:rPr>
          <w:highlight w:val="yellow"/>
        </w:rPr>
        <w:t>[verifikasi; juga pedoman ACG untuk H. pylori dan IDSA/AAP untuk faringitis streptokokus jika dikutip]</w:t>
      </w:r>
    </w:p>
    <w:p>
      <w:pPr>
        <w:ind w:left="425" w:hanging="425"/>
        <w:jc w:val="left"/>
      </w:pPr>
      <w:r>
        <w:t xml:space="preserve">[4] </w:t>
      </w:r>
      <w:r>
        <w:rPr>
          <w:highlight w:val="yellow"/>
        </w:rPr>
        <w:t>[Materi Game 1 dan 2, dokumen internal penulis.]</w:t>
      </w:r>
    </w:p>
    <w:p>
      <w:pPr>
        <w:ind w:left="425" w:hanging="425"/>
        <w:jc w:val="left"/>
      </w:pPr>
      <w:r>
        <w:t xml:space="preserve">[5] </w:t>
      </w:r>
      <w:r>
        <w:rPr>
          <w:highlight w:val="yellow"/>
        </w:rPr>
        <w:t>[Tambahkan referensi serious game / game-based learning dan game edukasi AMR.]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