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10E81">
      <w:pPr>
        <w:pStyle w:val="2"/>
        <w:numPr>
          <w:ilvl w:val="0"/>
          <w:numId w:val="0"/>
        </w:numPr>
        <w:ind w:left="425"/>
      </w:pPr>
      <w:r>
        <w:rPr>
          <w:rFonts w:hint="eastAsia"/>
        </w:rPr>
        <w:t>Abstract</w:t>
      </w:r>
    </w:p>
    <w:p w14:paraId="3EC65676">
      <w:pPr>
        <w:ind w:firstLine="420"/>
      </w:pPr>
    </w:p>
    <w:p w14:paraId="59EFC069">
      <w:pPr>
        <w:pStyle w:val="2"/>
      </w:pPr>
      <w:r>
        <w:rPr>
          <w:rFonts w:hint="eastAsia"/>
        </w:rPr>
        <w:t>Introduction</w:t>
      </w:r>
    </w:p>
    <w:p w14:paraId="5DB56A4A">
      <w:pPr>
        <w:ind w:firstLine="420"/>
      </w:pPr>
      <w:r>
        <w:t>零样本学习（ZSL）利用类别语义知识，将已见类别中学习到的知识迁移至未见类别。生成式ZSL通过学习视觉—语义映射，为未见类别合成视觉特征，进而训练分类器。作为代表性方法，ZeroDiff将扩散机制、实例级对比表征与多视角判别结合，以增强视觉—语义关联，为未见类别的特征生成提供支持。</w:t>
      </w:r>
    </w:p>
    <w:p w14:paraId="13BB732D">
      <w:pPr>
        <w:ind w:firstLine="420"/>
      </w:pPr>
      <w:r>
        <w:t>类别语义与实例对比表征描述了不同层次的结构信息。类别语义刻画类别之间的关联，但同类实例共享相同的语义原型，因而无法表达类内差异；实例对比表征则提供样本之间的细粒度关系，为描述同类实例的相对差异提供补充。本文将跨类语义关系与类内实例关系统称为双粒度关系。二者具有不同的监督范围，因此，如何将两种关系分别迁移至生成特征，是充分利用这两类知识的重要问题。</w:t>
      </w:r>
    </w:p>
    <w:p w14:paraId="193E341B">
      <w:pPr>
        <w:keepNext/>
        <w:ind w:firstLine="420"/>
        <w:jc w:val="center"/>
        <w:rPr>
          <w:rFonts w:hint="eastAsia" w:eastAsia="宋体"/>
          <w:lang w:eastAsia="zh-CN"/>
        </w:rPr>
      </w:pPr>
      <w:r>
        <w:rPr>
          <w:rFonts w:hint="eastAsia" w:eastAsia="宋体"/>
          <w:lang w:eastAsia="zh-CN"/>
        </w:rPr>
        <w:drawing>
          <wp:inline distT="0" distB="0" distL="114300" distR="114300">
            <wp:extent cx="5271770" cy="3747135"/>
            <wp:effectExtent l="0" t="0" r="1270" b="1905"/>
            <wp:docPr id="1" name="图片 1" descr="diagnosis_a_relation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nosis_a_relation_error"/>
                    <pic:cNvPicPr>
                      <a:picLocks noChangeAspect="1"/>
                    </pic:cNvPicPr>
                  </pic:nvPicPr>
                  <pic:blipFill>
                    <a:blip r:embed="rId12"/>
                    <a:stretch>
                      <a:fillRect/>
                    </a:stretch>
                  </pic:blipFill>
                  <pic:spPr>
                    <a:xfrm>
                      <a:off x="0" y="0"/>
                      <a:ext cx="5271770" cy="3747135"/>
                    </a:xfrm>
                    <a:prstGeom prst="rect">
                      <a:avLst/>
                    </a:prstGeom>
                  </pic:spPr>
                </pic:pic>
              </a:graphicData>
            </a:graphic>
          </wp:inline>
        </w:drawing>
      </w:r>
    </w:p>
    <w:p w14:paraId="0261B07A">
      <w:pPr>
        <w:pStyle w:val="11"/>
        <w:ind w:firstLine="400"/>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r>
        <w:rPr>
          <w:rFonts w:hint="eastAsia"/>
        </w:rPr>
        <w:t xml:space="preserve"> ZeroDiff 基线在 AWA2 上的双粒度关系对齐误差</w:t>
      </w:r>
      <w:r>
        <w:rPr>
          <w:rFonts w:ascii="Times New Roman" w:hAnsi="Times New Roman" w:eastAsia="宋体"/>
          <w:sz w:val="18"/>
        </w:rPr>
        <w:t>。</w:t>
      </w:r>
      <w:bookmarkStart w:id="0" w:name="_GoBack"/>
      <w:bookmarkEnd w:id="0"/>
      <w:r>
        <w:rPr>
          <w:rFonts w:hint="eastAsia" w:ascii="Times New Roman" w:hAnsi="Times New Roman" w:eastAsia="宋体"/>
          <w:sz w:val="18"/>
        </w:rPr>
        <w:t>蓝、红曲线分别表示跨类语义关系与类内 PaCo 关系的归一化距离对齐误差，展示两类关系在不同扩散时间步下的对齐偏差。实线与阴影分别表示多次采样的均值与标准差。</w:t>
      </w:r>
    </w:p>
    <w:p w14:paraId="78BBE26D">
      <w:pPr>
        <w:ind w:firstLine="420"/>
      </w:pPr>
      <w:r>
        <w:t>然而，将类别语义与实例表征作为生成条件，并不直接约束生成特征对双粒度关系的保持。为考察这一问题，我们基于冻结的ZeroDiff，在AWA2上固定采样实例与随机输入，衡量不同扩散输入状态下生成特征相对于两类参照的关系对齐误差。如图1所示，两类关系均存在对齐偏差；随着输入噪声增强，类内实例关系误差小幅上升，而跨类语义关系误差整体平稳。这一诊断为考察双粒度关系的保持情况及其状态响应提供了经验依据。关系监督因此需要明确两类知识的作用范围，并控制关系比较所依赖的扩散状态。</w:t>
      </w:r>
    </w:p>
    <w:p w14:paraId="5AEA72F3">
      <w:pPr>
        <w:ind w:firstLine="420"/>
      </w:pPr>
      <w:r>
        <w:t>基于此，我们提出时间感知的多粒度关系一致性学习框架。首先，通过关系空间校准，利用真实视觉特征、对比表征与类别语义持续更新投影器，为关系学习建立经过校准的表示空间。在此基础上，构建同时间步多粒度拓扑一致性约束：以类别语义拓扑指导跨类关系，以实例对比拓扑保持类内结构，使两类关系均在可比的扩散状态下进行对齐。</w:t>
      </w:r>
    </w:p>
    <w:p w14:paraId="6F48AEB7">
      <w:pPr>
        <w:ind w:firstLine="420"/>
      </w:pPr>
      <w:r>
        <w:t>进一步地，我们引入扩散可靠性感知的关系协调机制，以生成器输入的信号保留率作为可靠性代理，对两种粒度的时间步贡献进行差异化重加权。该机制为实例级关系设置更快的权重衰减，并保留权重下限，从而使类级与实例级监督具有不同的噪声响应。通过关系空间校准、同时间步拓扑对齐与可靠性感知重加权，框架将多粒度关系约束融入基础生成训练。本文的主要贡献如下：</w:t>
      </w:r>
    </w:p>
    <w:p w14:paraId="52638589">
      <w:pPr>
        <w:pStyle w:val="37"/>
        <w:numPr>
          <w:ilvl w:val="0"/>
          <w:numId w:val="2"/>
        </w:numPr>
        <w:spacing w:line="240" w:lineRule="auto"/>
        <w:ind w:firstLineChars="0"/>
      </w:pPr>
      <w:r>
        <w:rPr>
          <w:rFonts w:hint="eastAsia"/>
        </w:rPr>
        <w:t>发现</w:t>
      </w:r>
      <w:r>
        <w:t>扩散式ZSL中的多粒度关系不一致问题</w:t>
      </w:r>
      <w:r>
        <w:rPr>
          <w:rFonts w:hint="eastAsia"/>
        </w:rPr>
        <w:t>。</w:t>
      </w:r>
      <w:r>
        <w:t>通过逐时间步诊断，考察两类参考拓扑的保持程度及其噪声响应，为时间感知监督提供动机</w:t>
      </w:r>
      <w:r>
        <w:rPr>
          <w:rFonts w:hint="eastAsia"/>
        </w:rPr>
        <w:t>。</w:t>
      </w:r>
    </w:p>
    <w:p w14:paraId="4F06B7B4">
      <w:pPr>
        <w:pStyle w:val="37"/>
        <w:numPr>
          <w:ilvl w:val="0"/>
          <w:numId w:val="2"/>
        </w:numPr>
        <w:spacing w:line="240" w:lineRule="auto"/>
        <w:ind w:firstLineChars="0"/>
      </w:pPr>
      <w:r>
        <w:t>提出时间感知的多粒度关系一致性方法</w:t>
      </w:r>
      <w:r>
        <w:rPr>
          <w:rFonts w:hint="eastAsia"/>
        </w:rPr>
        <w:t>。</w:t>
      </w:r>
      <w:r>
        <w:t>通过持续更新投影器校准关系表示，并在同一扩散状态下分别约束跨类与类内结构</w:t>
      </w:r>
      <w:r>
        <w:rPr>
          <w:rFonts w:hint="eastAsia"/>
        </w:rPr>
        <w:t>。</w:t>
      </w:r>
    </w:p>
    <w:p w14:paraId="4FC2538D">
      <w:pPr>
        <w:pStyle w:val="37"/>
        <w:numPr>
          <w:ilvl w:val="0"/>
          <w:numId w:val="2"/>
        </w:numPr>
        <w:spacing w:line="240" w:lineRule="auto"/>
        <w:ind w:firstLineChars="0"/>
      </w:pPr>
      <w:r>
        <w:t>在AWA2、CUB和SUN三个基准数据集上开展系统实验。与现有最先进（state-of-the-art，SOTA）方法的比较表明，所提方法在多项ZSL与GZSL评估指标上取得领先结果，并在三个数据集上均优于ZeroDiff基线。</w:t>
      </w:r>
    </w:p>
    <w:p w14:paraId="6D0C15EC">
      <w:pPr>
        <w:ind w:firstLine="420"/>
      </w:pPr>
    </w:p>
    <w:p w14:paraId="03B1E670">
      <w:pPr>
        <w:pStyle w:val="2"/>
      </w:pPr>
      <w:r>
        <w:rPr>
          <w:rFonts w:hint="eastAsia"/>
        </w:rPr>
        <w:t>Related Work</w:t>
      </w:r>
    </w:p>
    <w:p w14:paraId="5AE21926">
      <w:pPr>
        <w:pStyle w:val="3"/>
      </w:pPr>
      <w:r>
        <w:rPr>
          <w:rFonts w:hint="eastAsia"/>
        </w:rPr>
        <w:t>零样本学习</w:t>
      </w:r>
    </w:p>
    <w:p w14:paraId="2EEBA511">
      <w:pPr>
        <w:ind w:firstLine="420"/>
      </w:pPr>
      <w:r>
        <w:t>零样本学习（ZSL）借助类别属性、文本描述等辅助语义，将已见类别中学习到的知识迁移至未见类别。广义零样本学习（GZSL）进一步要求同时识别已见与未见类别。现有研究主要分为嵌入式与生成式两类，分别通过跨模态匹配和条件特征生成实现知识迁移。</w:t>
      </w:r>
    </w:p>
    <w:p w14:paraId="212843FC">
      <w:pPr>
        <w:ind w:firstLine="420"/>
        <w:rPr>
          <w:color w:val="auto"/>
        </w:rPr>
      </w:pPr>
      <w:r>
        <w:rPr>
          <w:color w:val="auto"/>
        </w:rPr>
        <w:t>嵌入式方法学习视觉特征与类别语义之间的映射或兼容性函数，依据样本与语义原型的匹配程度完成识别。早期研究侧重全局表示的跨模态匹配，后续方法逐渐关注局部视觉区域与语义属性的对应关系。TransZero++通过双向属性引导的Transformer及语义协同学习增强属性定位与跨模态交互；ZSLViT利用语义引导的令牌学习和视觉增强，逐步提取语义相关信息并压缩无关内容，提高表示的判别能力。</w:t>
      </w:r>
    </w:p>
    <w:p w14:paraId="20C4E6FA">
      <w:pPr>
        <w:ind w:firstLine="420"/>
        <w:rPr>
          <w:color w:val="auto"/>
        </w:rPr>
      </w:pPr>
      <w:r>
        <w:rPr>
          <w:color w:val="auto"/>
        </w:rPr>
        <w:t>生成式方法以类别语义为条件合成未见类别的视觉特征，将零样本识别转化为监督分类问题。f-VAEGAN结合变分自编码器与生成对抗网络建模类别条件分布；TF-VAEGAN通过语义解码与反馈机制细化生成特征；CE-GZSL融合特征生成与对比嵌入，利用类别级和实例级监督学习判别性表示。CESAM</w:t>
      </w:r>
      <w:r>
        <w:rPr>
          <w:rFonts w:hint="eastAsia"/>
          <w:color w:val="auto"/>
        </w:rPr>
        <w:t>、</w:t>
      </w:r>
      <w:r>
        <w:rPr>
          <w:color w:val="auto"/>
        </w:rPr>
        <w:t>FCMFD等</w:t>
      </w:r>
      <w:r>
        <w:rPr>
          <w:rFonts w:hint="eastAsia"/>
          <w:color w:val="auto"/>
        </w:rPr>
        <w:t>模型</w:t>
      </w:r>
      <w:r>
        <w:rPr>
          <w:color w:val="auto"/>
        </w:rPr>
        <w:t>进一步从结构对齐和特征解耦入手，将关系约束与判别性表示学习融入特征生成，缓解视觉—语义结构差异及类别混淆</w:t>
      </w:r>
      <w:r>
        <w:rPr>
          <w:rFonts w:hint="eastAsia"/>
          <w:color w:val="auto"/>
        </w:rPr>
        <w:t>。</w:t>
      </w:r>
    </w:p>
    <w:p w14:paraId="3CDDC2C9">
      <w:pPr>
        <w:ind w:firstLine="420"/>
        <w:rPr>
          <w:color w:val="auto"/>
        </w:rPr>
      </w:pPr>
      <w:r>
        <w:rPr>
          <w:color w:val="auto"/>
        </w:rPr>
        <w:t>后续研究进一步改进生成条件与优化目标：DSP和VADS通过动态语义更新增强视觉—语义关联；GenZSL结合类别名称语义与相似已见类别的视觉信息辅助生成；RLVC利用结果奖励与视觉线索引入下游识别反馈。这些研究推动了生成特征的语义一致性与判别性学习。</w:t>
      </w:r>
    </w:p>
    <w:p w14:paraId="22867B2D">
      <w:pPr>
        <w:pStyle w:val="3"/>
      </w:pPr>
      <w:r>
        <w:rPr>
          <w:rFonts w:hint="eastAsia"/>
        </w:rPr>
        <w:t>零样本学习中的扩散模型</w:t>
      </w:r>
    </w:p>
    <w:p w14:paraId="1C30453E">
      <w:pPr>
        <w:ind w:firstLine="420"/>
      </w:pPr>
      <w:r>
        <w:t>扩散模型通过前向加噪和逆向去噪学习数据分布，为条件生成提供了新的途径。DDPM建立了基于逐步去噪的生成框架；DDGAN利用条件生成对抗网络建模去噪转移，使模型能够采用较大的去噪步长，在减少采样步数的同时保持生成质量与多样性。将扩散机制引入零样本学习，可以在不同噪声水平下学习语义条件与视觉特征之间的关联，为未见类别的特征合成提供支持。</w:t>
      </w:r>
    </w:p>
    <w:p w14:paraId="02DD117A">
      <w:pPr>
        <w:ind w:firstLine="420"/>
      </w:pPr>
      <w:r>
        <w:t>ZeroDiff针对有限已见样本下的虚假视觉—语义关联，将扩散增强、监督对比表征和多判别器互学习结合：通过加噪扩充训练数据，以实例对比表征补充类别语义，并从语义、表征和扩散过程三个视角评价生成特征。该方法分别训练表征生成器与视觉特征生成器，依次合成未见类别的实例表征和视觉特征。在此基础上，Li等人提出ZeroDiff++，关注不同类别在固定扩散日程下的语义扩散不平衡。该方法引入采用弱噪声日程的W分支与采用平缓日程的M分支，分别侧重细粒度信息保留和去噪动态稳定，并通过语义引导的多候选融合细化生成特征。</w:t>
      </w:r>
    </w:p>
    <w:p w14:paraId="75F42067">
      <w:pPr>
        <w:ind w:firstLine="420"/>
      </w:pPr>
      <w:r>
        <w:t>本文进一步关注生成特征对跨类语义关系与类内实例关系的保持，在同一扩散输入状态下分别对齐两类结构，并依据关系粒度与信号保留率分配状态监督贡献。</w:t>
      </w:r>
    </w:p>
    <w:p w14:paraId="318BFA45">
      <w:pPr>
        <w:pStyle w:val="2"/>
      </w:pPr>
      <w:r>
        <w:rPr>
          <w:rFonts w:hint="eastAsia"/>
        </w:rPr>
        <w:t>Methodology</w:t>
      </w:r>
    </w:p>
    <w:p w14:paraId="2607A90B">
      <w:pPr>
        <w:pStyle w:val="42"/>
      </w:pPr>
      <w:r>
        <w:rPr>
          <w:rFonts w:hint="eastAsia"/>
        </w:rPr>
        <w:t>问题设定</w:t>
      </w:r>
    </w:p>
    <w:p w14:paraId="74FCF092">
      <w:pPr>
        <w:ind w:firstLine="420"/>
      </w:pPr>
      <w:r>
        <w:rPr>
          <w:rFonts w:hint="eastAsia"/>
        </w:rPr>
        <w:t>零样本学习包含互不相交的已见类别集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与未见类别集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，即</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oMath>
      <w:r>
        <w:rPr>
          <w:rFonts w:hint="eastAsia"/>
        </w:rPr>
        <w:t>。训练集为</w:t>
      </w:r>
      <w:r>
        <w:t xml:space="preserve"> </w:t>
      </w:r>
      <m:oMath>
        <m:sSub>
          <m:sSubPr>
            <m:ctrlPr>
              <w:rPr>
                <w:rFonts w:ascii="Cambria Math" w:hAnsi="Cambria Math"/>
              </w:rPr>
            </m:ctrlPr>
          </m:sSubPr>
          <m:e>
            <m:r>
              <m:rPr>
                <m:sty m:val="p"/>
                <m:scr m:val="script"/>
              </m:rPr>
              <w:rPr>
                <w:rFonts w:ascii="Cambria Math" w:hAnsi="Cambria Math"/>
              </w:rPr>
              <m:t>D</m:t>
            </m:r>
            <m:ctrlPr>
              <w:rPr>
                <w:rFonts w:ascii="Cambria Math" w:hAnsi="Cambria Math"/>
              </w:rPr>
            </m:ctrlPr>
          </m:e>
          <m:sub>
            <m:r>
              <m:rPr>
                <m:sty m:val="p"/>
              </m:rPr>
              <w:rPr>
                <w:rFonts w:ascii="Cambria Math" w:hAnsi="Cambria Math"/>
              </w:rPr>
              <m:t>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p>
        </m:sSubSup>
      </m:oMath>
      <w:r>
        <w:rPr>
          <w:rFonts w:hint="eastAsia"/>
        </w:rPr>
        <w:t>，其中</w:t>
      </w:r>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oMath>
      <w:r>
        <w:t xml:space="preserve"> </w:t>
      </w:r>
      <w:r>
        <w:rPr>
          <w:rFonts w:hint="eastAsia"/>
        </w:rPr>
        <w:t>为样本数，</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为已见类图像，</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为标签，</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t xml:space="preserve"> </w:t>
      </w:r>
      <w:r>
        <w:rPr>
          <w:rFonts w:hint="eastAsia"/>
        </w:rPr>
        <w:t>为类别语义。未见类语义可用于生成，其真实图像不参与训练。传统ZSL的目标是学习分类器</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；GZSL还需识别未参与训练的已见类样本，目标为</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GZSL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w:t>
      </w:r>
    </w:p>
    <w:p w14:paraId="743BD084">
      <w:pPr>
        <w:pStyle w:val="3"/>
      </w:pPr>
      <w:r>
        <w:rPr>
          <w:rFonts w:hint="eastAsia"/>
        </w:rPr>
        <w:t>状态感知双粒度关系对齐</w:t>
      </w:r>
    </w:p>
    <w:p w14:paraId="35BB51F0">
      <w:pPr>
        <w:ind w:firstLine="420"/>
      </w:pPr>
      <w:r>
        <w:rPr>
          <w:rFonts w:hint="eastAsia"/>
        </w:rPr>
        <w:t>类别语义与实例对比表征分别提供跨类结构和类内差异信息，但将二者输入生成器，并不直接约束生成特征对这些关系的保持。同时，扩散输入的噪声水平改变了生成预测的信息条件，因此关系监督需要兼顾知识粒度与扩散状态。</w:t>
      </w:r>
    </w:p>
    <w:p w14:paraId="6E4332EF">
      <w:pPr>
        <w:ind w:firstLine="420"/>
      </w:pPr>
      <w:r>
        <w:rPr>
          <w:rFonts w:hint="eastAsia"/>
        </w:rPr>
        <w:t>我们在ZeroDiff的基础生成训练中引入状态感知双粒度关系对齐，由关系空间校准（RSC）、同状态关系对齐（SDGA）和粒度感知状态重加权（GSR）组成，分别确定关系比较的表示基础、监督对象和状态贡献。</w:t>
      </w:r>
    </w:p>
    <w:p w14:paraId="2305F75B">
      <w:pPr>
        <w:pStyle w:val="4"/>
      </w:pPr>
      <w:r>
        <w:rPr>
          <w:rFonts w:hint="eastAsia"/>
        </w:rPr>
        <w:t>关系空间校准</w:t>
      </w:r>
    </w:p>
    <w:p w14:paraId="36EF33B4">
      <w:pPr>
        <w:ind w:firstLine="420"/>
      </w:pPr>
      <w:r>
        <w:rPr>
          <w:rFonts w:hint="eastAsia"/>
        </w:rPr>
        <w:t>视觉与对比表征由不同学习目标塑造，其原始关系几何未必适合直接监督生成。距离归一化可以调整整体尺度，却不能自动消除结构偏差。为此，关系空间校准（Relational</w:t>
      </w:r>
      <w:r>
        <w:t xml:space="preserve"> Space </w:t>
      </w:r>
      <w:r>
        <w:rPr>
          <w:rFonts w:hint="eastAsia"/>
        </w:rPr>
        <w:t>Calibration，RSC）利用真实已见类数据学习关系投影，为后续生成关系约束建立比较基础。</w:t>
      </w:r>
    </w:p>
    <w:p w14:paraId="119F4B79">
      <w:pPr>
        <w:ind w:firstLine="420"/>
      </w:pPr>
      <w:r>
        <w:rPr>
          <w:rFonts w:hint="eastAsia"/>
        </w:rPr>
        <w:t>记样本</w:t>
      </w:r>
      <w:r>
        <w:t xml:space="preserve"> </w:t>
      </w:r>
      <m:oMath>
        <m:r>
          <m:rPr/>
          <w:rPr>
            <w:rFonts w:ascii="Cambria Math" w:hAnsi="Cambria Math"/>
          </w:rPr>
          <m:t>i</m:t>
        </m:r>
      </m:oMath>
      <w:r>
        <w:t xml:space="preserve"> </w:t>
      </w:r>
      <w:r>
        <w:rPr>
          <w:rFonts w:hint="eastAsia"/>
        </w:rPr>
        <w:t>的清洁视觉特征、实例对比表征与类别语义为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w:t>
      </w:r>
      <m:oMath>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rPr>
          <w:rFonts w:hint="eastAsia"/>
        </w:rPr>
        <w:t>。投影器得到</w:t>
      </w:r>
      <w:r>
        <w:t xml:space="preserve"> </w:t>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，并对输出进行</w:t>
      </w:r>
      <w:r>
        <w:t xml:space="preserve"> </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ctrlPr>
              <w:rPr>
                <w:rFonts w:ascii="Cambria Math" w:hAnsi="Cambria Math"/>
              </w:rPr>
            </m:ctrlPr>
          </m:sub>
        </m:sSub>
      </m:oMath>
      <w:r>
        <w:t xml:space="preserve"> </w:t>
      </w:r>
      <w:r>
        <w:rPr>
          <w:rFonts w:hint="eastAsia"/>
        </w:rPr>
        <w:t>归一化。我们以归一化距离描述样本间的相对分离，以三元组方向描述围绕共同中心的相对布局。对于批次表示</w:t>
      </w:r>
      <w:r>
        <w:t xml:space="preserve"> </w:t>
      </w:r>
      <m:oMath>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sSubSup>
      </m:oMath>
      <w:r>
        <w:rPr>
          <w:rFonts w:hint="eastAsia"/>
        </w:rPr>
        <w:t>，令</w:t>
      </w:r>
      <w: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，定义</w:t>
      </w:r>
    </w:p>
    <w:p w14:paraId="271F1496">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ctrlPr>
                <w:rPr>
                  <w:rFonts w:ascii="Cambria Math" w:hAnsi="Cambria Math"/>
                </w:rPr>
              </m:ctrlPr>
            </m:e>
            <m:e>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E6577BC">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)&gt;</m:t>
        </m:r>
        <m:r>
          <m:rPr/>
          <w:rPr>
            <w:rFonts w:ascii="Cambria Math" w:hAnsi="Cambria Math"/>
          </w:rPr>
          <m:t>0</m:t>
        </m:r>
        <m:r>
          <m:rPr>
            <m:sty m:val="p"/>
          </m:rPr>
          <w:rPr>
            <w:rFonts w:ascii="Cambria Math" w:hAnsi="Cambria Math"/>
          </w:rPr>
          <m:t>}</m:t>
        </m:r>
      </m:oMath>
      <w:r>
        <w:rPr>
          <w:rFonts w:hint="eastAsia"/>
        </w:rPr>
        <w:t>，</w:t>
      </w:r>
      <m:oMath>
        <m:r>
          <m:rPr/>
          <w:rPr>
            <w:rFonts w:ascii="Cambria Math" w:hAnsi="Cambria Math"/>
          </w:rPr>
          <m:t>ϵ</m:t>
        </m:r>
        <m:r>
          <m:rPr>
            <m:sty m:val="p"/>
          </m:rPr>
          <w:rPr>
            <w:rFonts w:ascii="Cambria Math" w:hAnsi="Cambria Math"/>
          </w:rPr>
          <m:t>&gt;</m:t>
        </m:r>
        <m:r>
          <m:rPr/>
          <w:rPr>
            <w:rFonts w:ascii="Cambria Math" w:hAnsi="Cambria Math"/>
          </w:rPr>
          <m:t>0</m:t>
        </m:r>
      </m:oMath>
      <w:r>
        <w:t xml:space="preserve"> </w:t>
      </w:r>
      <w:r>
        <w:rPr>
          <w:rFonts w:hint="eastAsia"/>
        </w:rPr>
        <w:t>为数值稳定常数；无非零距离时归一化尺度取1。对于两组具有样本对应关系的表示</w:t>
      </w:r>
      <w:r>
        <w:t xml:space="preserve"> </w:t>
      </w:r>
      <m:oMath>
        <m:r>
          <m:rPr/>
          <w:rPr>
            <w:rFonts w:ascii="Cambria Math" w:hAnsi="Cambria Math"/>
          </w:rPr>
          <m:t>P</m:t>
        </m:r>
      </m:oMath>
      <w:r>
        <w:t xml:space="preserve"> </w:t>
      </w:r>
      <w:r>
        <w:rPr>
          <w:rFonts w:hint="eastAsia"/>
        </w:rPr>
        <w:t>和</w:t>
      </w:r>
      <w:r>
        <w:t xml:space="preserve"> </w:t>
      </w:r>
      <m:oMath>
        <m:r>
          <m:rPr/>
          <w:rPr>
            <w:rFonts w:ascii="Cambria Math" w:hAnsi="Cambria Math"/>
          </w:rPr>
          <m:t>Q</m:t>
        </m:r>
      </m:oMath>
      <w:r>
        <w:rPr>
          <w:rFonts w:hint="eastAsia"/>
        </w:rPr>
        <w:t>，分别在样本对与三元组上平均匹配关系：</w:t>
      </w:r>
    </w:p>
    <w:p w14:paraId="45AF5ECF">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73D4FA3F">
      <w:pPr>
        <w:ind w:firstLine="420"/>
      </w:pPr>
      <w:r>
        <w:rPr>
          <w:rFonts w:hint="eastAsia"/>
        </w:rPr>
        <w:t>其中，</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oMath>
      <w:r>
        <w:t xml:space="preserve"> </w:t>
      </w:r>
      <w:r>
        <w:rPr>
          <w:rFonts w:hint="eastAsia"/>
        </w:rPr>
        <w:t>为Smooth</w:t>
      </w:r>
      <w:r>
        <w:t xml:space="preserve"> </w:t>
      </w:r>
      <w:r>
        <w:rPr>
          <w:rFonts w:hint="eastAsia"/>
        </w:rPr>
        <w:t>L1函数。记统一关系目标为</w:t>
      </w:r>
      <w:r>
        <w:t xml:space="preserve"> </w:t>
      </w:r>
      <m:oMath>
        <m:r>
          <m:rPr>
            <m:sty m:val="p"/>
            <m:scr m:val="script"/>
          </m:rPr>
          <w:rPr>
            <w:rFonts w:ascii="Cambria Math" w:hAnsi="Cambria Math"/>
          </w:rPr>
          <m:t>ℛ(</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oMath>
      <w:r>
        <w:rPr>
          <w:rFonts w:hint="eastAsia"/>
        </w:rPr>
        <w:t>，</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oMath>
      <w:r>
        <w:t xml:space="preserve"> </w:t>
      </w:r>
      <w:r>
        <w:rPr>
          <w:rFonts w:hint="eastAsia"/>
        </w:rPr>
        <w:t>与</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oMath>
      <w:r>
        <w:t xml:space="preserve"> </w:t>
      </w:r>
      <w:r>
        <w:rPr>
          <w:rFonts w:hint="eastAsia"/>
        </w:rPr>
        <w:t>控制距离与方向的贡献，第二个变量作为停止梯度的参照。</w:t>
      </w:r>
    </w:p>
    <w:p w14:paraId="4C9134ED">
      <w:pPr>
        <w:ind w:firstLine="420"/>
      </w:pPr>
      <w:r>
        <w:rPr>
          <w:rFonts w:hint="eastAsia"/>
        </w:rPr>
        <w:t>令真实视觉投影、对比投影与类别语义的批次表示为</w:t>
      </w:r>
      <w:r>
        <w:t xml:space="preserve"> </w:t>
      </w:r>
      <m:oMath>
        <m:r>
          <m:rPr/>
          <w:rPr>
            <w:rFonts w:ascii="Cambria Math" w:hAnsi="Cambria Math"/>
          </w:rPr>
          <m:t>U</m:t>
        </m:r>
      </m:oMath>
      <w:r>
        <w:t>、</w:t>
      </w:r>
      <m:oMath>
        <m:r>
          <m:rPr/>
          <w:rPr>
            <w:rFonts w:ascii="Cambria Math" w:hAnsi="Cambria Math"/>
          </w:rPr>
          <m:t>H</m:t>
        </m:r>
      </m:oMath>
      <w:r>
        <w:t xml:space="preserve"> </w:t>
      </w:r>
      <w:r>
        <w:rPr>
          <w:rFonts w:hint="eastAsia"/>
        </w:rPr>
        <w:t>和</w:t>
      </w:r>
      <w:r>
        <w:t xml:space="preserve"> </w:t>
      </w:r>
      <m:oMath>
        <m:r>
          <m:rPr/>
          <w:rPr>
            <w:rFonts w:ascii="Cambria Math" w:hAnsi="Cambria Math"/>
          </w:rPr>
          <m:t>A</m:t>
        </m:r>
      </m:oMath>
      <w:r>
        <w:rPr>
          <w:rFonts w:hint="eastAsia"/>
        </w:rPr>
        <w:t>，校准目标为</w:t>
      </w:r>
    </w:p>
    <w:p w14:paraId="79A8539E">
      <w:pPr>
        <w:ind w:firstLine="420"/>
      </w:pPr>
      <m:oMathPara>
        <m:oMathParaPr>
          <m:jc m:val="center"/>
        </m:oMathPara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RSC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scr m:val="script"/>
            </m:rPr>
            <w:rPr>
              <w:rFonts w:ascii="Cambria Math" w:hAnsi="Cambria Math"/>
            </w:rPr>
            <m:t>ℛ(</m:t>
          </m:r>
          <m:r>
            <m:rPr/>
            <w:rPr>
              <w:rFonts w:ascii="Cambria Math" w:hAnsi="Cambria Math"/>
            </w:rPr>
            <m:t>U</m:t>
          </m:r>
          <m:r>
            <m:rPr>
              <m:sty m:val="p"/>
            </m:rPr>
            <w:rPr>
              <w:rFonts w:ascii="Cambria Math" w:hAnsi="Cambria Math"/>
            </w:rPr>
            <m:t>,</m:t>
          </m:r>
          <m:r>
            <m:rPr/>
            <w:rPr>
              <w:rFonts w:ascii="Cambria Math" w:hAnsi="Cambria Math"/>
            </w:rPr>
            <m:t>A</m:t>
          </m:r>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scr m:val="script"/>
            </m:rPr>
            <w:rPr>
              <w:rFonts w:ascii="Cambria Math" w:hAnsi="Cambria Math"/>
            </w:rPr>
            <m:t>ℛ</m:t>
          </m:r>
          <m:d>
            <m:dPr>
              <m:ctrlPr>
                <w:rPr>
                  <w:rFonts w:ascii="Cambria Math" w:hAnsi="Cambria Math"/>
                </w:rPr>
              </m:ctrlPr>
            </m:dPr>
            <m:e>
              <m:r>
                <m:rPr/>
                <w:rPr>
                  <w:rFonts w:ascii="Cambria Math" w:hAnsi="Cambria Math"/>
                </w:rPr>
                <m:t>U</m:t>
              </m:r>
              <m:r>
                <m:rPr>
                  <m:sty m:val="p"/>
                </m:rPr>
                <w:rPr>
                  <w:rFonts w:ascii="Cambria Math" w:hAnsi="Cambria Math"/>
                </w:rPr>
                <m:t>,sg(</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scr m:val="script"/>
            </m:rPr>
            <w:rPr>
              <w:rFonts w:ascii="Cambria Math" w:hAnsi="Cambria Math"/>
            </w:rPr>
            <m:t>ℛ(</m:t>
          </m:r>
          <m:r>
            <m:rPr/>
            <w:rPr>
              <w:rFonts w:ascii="Cambria Math" w:hAnsi="Cambria Math"/>
            </w:rPr>
            <m:t>H</m:t>
          </m:r>
          <m:r>
            <m:rPr>
              <m:sty m:val="p"/>
            </m:rPr>
            <w:rPr>
              <w:rFonts w:ascii="Cambria Math" w:hAnsi="Cambria Math"/>
            </w:rPr>
            <m:t>,</m:t>
          </m:r>
          <m:r>
            <m:rPr/>
            <w:rPr>
              <w:rFonts w:ascii="Cambria Math" w:hAnsi="Cambria Math"/>
            </w:rPr>
            <m:t>A</m:t>
          </m:r>
          <m:r>
            <m:rPr>
              <m:sty m:val="p"/>
            </m:rPr>
            <w:rPr>
              <w:rFonts w:ascii="Cambria Math" w:hAnsi="Cambria Math"/>
            </w:rPr>
            <m:t>).</m:t>
          </m:r>
        </m:oMath>
      </m:oMathPara>
    </w:p>
    <w:p w14:paraId="499CC757">
      <w:pPr>
        <w:ind w:firstLine="420"/>
      </w:pPr>
      <w:r>
        <w:rPr>
          <w:rFonts w:hint="eastAsia"/>
        </w:rPr>
        <w:t>其中，</w:t>
      </w:r>
      <m:oMath>
        <m:r>
          <m:rPr>
            <m:sty m:val="p"/>
          </m:rPr>
          <w:rPr>
            <w:rFonts w:ascii="Cambria Math" w:hAnsi="Cambria Math"/>
          </w:rPr>
          <m:t>sg(⋅)</m:t>
        </m:r>
      </m:oMath>
      <w:r>
        <w:t xml:space="preserve"> </w:t>
      </w:r>
      <w:r>
        <w:rPr>
          <w:rFonts w:hint="eastAsia"/>
        </w:rPr>
        <w:t>表示停止梯度，</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为校准系数。视觉投影同时匹配语义与对比关系，对比投影接受语义锚定；第二项不更新</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oMath>
      <w:r>
        <w:rPr>
          <w:rFonts w:hint="eastAsia"/>
        </w:rPr>
        <w:t>。同类语义重合会使第三项对类内相对距离产生收缩压力，</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oMath>
      <w:r>
        <w:t xml:space="preserve"> </w:t>
      </w:r>
      <w:r>
        <w:rPr>
          <w:rFonts w:hint="eastAsia"/>
        </w:rPr>
        <w:t>调节这一锚定强度。</w:t>
      </w:r>
    </w:p>
    <w:p w14:paraId="1E9820A9">
      <w:pPr>
        <w:ind w:firstLine="420"/>
      </w:pPr>
    </w:p>
    <w:p w14:paraId="4D29B4E2">
      <w:pPr>
        <w:pStyle w:val="4"/>
      </w:pPr>
      <w:r>
        <w:rPr>
          <w:rFonts w:hint="eastAsia"/>
        </w:rPr>
        <w:t>同状态双粒度关系对齐</w:t>
      </w:r>
    </w:p>
    <w:p w14:paraId="540D1280">
      <w:pPr>
        <w:ind w:firstLine="420"/>
      </w:pPr>
      <w:r>
        <w:rPr>
          <w:rFonts w:hint="eastAsia"/>
        </w:rPr>
        <w:t>类别语义对同类实例给出零距离，无法表达类内变化；将其用于实例关系监督会产生类内收缩压力。因此，同状态双粒度关系对齐（State-Matched</w:t>
      </w:r>
      <w:r>
        <w:t xml:space="preserve"> Dual-Granularity </w:t>
      </w:r>
      <w:r>
        <w:rPr>
          <w:rFonts w:hint="eastAsia"/>
        </w:rPr>
        <w:t>Alignment，SDGA）以类别语义监督跨类关系，以实例对比表征监督类内不同实例关系。对比表征的监督范围在此被限定为类内，以补充类别语义不能提供的细粒度结构。</w:t>
      </w:r>
    </w:p>
    <w:p w14:paraId="148B8E85">
      <w:pPr>
        <w:ind w:firstLine="420"/>
      </w:pPr>
      <w:r>
        <w:rPr>
          <w:rFonts w:hint="eastAsia"/>
        </w:rPr>
        <w:t>预测目标同为清洁特征，并不意味着不同时间步的预测具有相同的误差特征。输入噪声水平的变化可能带来不同的结构偏差，混合这些预测会将噪声条件差异引入样本关系的构建。因此，我们在同一扩散输入状态内比较生成预测，以控制关系比较的噪声条件。对于分配至生成步</w:t>
      </w:r>
      <w: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的样本</w:t>
      </w:r>
      <w:r>
        <w:t xml:space="preserve"> </w:t>
      </w:r>
      <m:oMath>
        <m:r>
          <m:rPr/>
          <w:rPr>
            <w:rFonts w:ascii="Cambria Math" w:hAnsi="Cambria Math"/>
          </w:rPr>
          <m:t>i</m:t>
        </m:r>
      </m:oMath>
      <w:r>
        <w:rPr>
          <w:rFonts w:hint="eastAsia"/>
        </w:rPr>
        <w:t>，定义</w:t>
      </w:r>
    </w:p>
    <w:p w14:paraId="48E74BDF">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r>
                <m:rPr/>
                <w:rPr>
                  <w:rFonts w:ascii="Cambria Math" w:hAnsi="Cambria Math"/>
                </w:rPr>
                <m:t>G</m:t>
              </m:r>
              <m:d>
                <m:dPr>
                  <m:ctrlPr>
                    <w:rPr>
                      <w:rFonts w:ascii="Cambria Math" w:hAnsi="Cambria Math"/>
                    </w:rPr>
                  </m:ctrlPr>
                </m:dPr>
                <m:e>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ctrlPr>
                <w:rPr>
                  <w:rFonts w:ascii="Cambria Math" w:hAnsi="Cambria Math"/>
                </w:rPr>
              </m:ctrlP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C5695C2">
      <w:pPr>
        <w:ind w:firstLine="420"/>
      </w:pPr>
      <w:r>
        <w:rPr>
          <w:rFonts w:hint="eastAsia"/>
        </w:rPr>
        <w:t>上标</w:t>
      </w:r>
      <w:r>
        <w:t xml:space="preserve"> </w:t>
      </w:r>
      <m:oMath>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表示预测所依赖的输入状态，类别语义</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与对比投影</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保持为清洁参照。同状态匹配使输入噪声水平可比，各实例仍使用独立噪声，预测误差也不被假定为一致。状态</w:t>
      </w:r>
      <w:r>
        <w:t xml:space="preserve"> </w:t>
      </w:r>
      <m:oMath>
        <m:r>
          <m:rPr/>
          <w:rPr>
            <w:rFonts w:ascii="Cambria Math" w:hAnsi="Cambria Math"/>
          </w:rPr>
          <m:t>t</m:t>
        </m:r>
      </m:oMath>
      <w:r>
        <w:t xml:space="preserve"> </w:t>
      </w:r>
      <w:r>
        <w:rPr>
          <w:rFonts w:hint="eastAsia"/>
        </w:rPr>
        <w:t>下的两组关系对为</w:t>
      </w:r>
    </w:p>
    <w:p w14:paraId="50BC14F5">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e>
          </m:eqArr>
        </m:oMath>
      </m:oMathPara>
    </w:p>
    <w:p w14:paraId="5A7CE0FB">
      <w:pPr>
        <w:ind w:firstLine="420"/>
      </w:pPr>
      <w:r>
        <w:rPr>
          <w:rFonts w:hint="eastAsia"/>
        </w:rPr>
        <w:t>跨类分离与类内差异具有不同尺度，共用归一化尺度会使两类关系相互影响。我们因此按粒度与状态分别归一化，并为生成表示和参考表示各自计算尺度。对于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，定义</w:t>
      </w:r>
    </w:p>
    <w:p w14:paraId="03CFDF32">
      <w:pPr>
        <w:ind w:firstLine="420"/>
      </w:pPr>
      <m:oMathPara>
        <m:oMathParaPr>
          <m:jc m:val="center"/>
        </m:oMathParaPr>
        <m:oMath>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g</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oMath>
      </m:oMathPara>
    </w:p>
    <w:p w14:paraId="58B224C1">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oMath>
      <w:r>
        <w:t xml:space="preserve"> </w:t>
      </w:r>
      <w:r>
        <w:rPr>
          <w:rFonts w:hint="eastAsia"/>
        </w:rPr>
        <w:t>为</w:t>
      </w:r>
      <w:r>
        <w:t xml:space="preserve"> </w:t>
      </w:r>
      <m:oMath>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中距离为正的样本对集合，空集合沿用RSC的尺度约定。令</w:t>
      </w:r>
      <w:r>
        <w:t xml:space="preserve"> </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t xml:space="preserve"> </w:t>
      </w:r>
      <w:r>
        <w:rPr>
          <w:rFonts w:hint="eastAsia"/>
        </w:rPr>
        <w:t>为当前批次的生成视觉投影，状态损失为</w:t>
      </w:r>
    </w:p>
    <w:p w14:paraId="4538E4AB">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32A944D2">
      <w:pPr>
        <w:ind w:firstLine="420"/>
      </w:pPr>
      <w:r>
        <w:rPr>
          <w:rFonts w:hint="eastAsia"/>
        </w:rPr>
        <w:t>两类损失分别约束跨类语义结构与类内实例结构。参考关系停止梯度，生成距离及其归一化尺度参与反向传播。RSC在真实批次上利用距离与方向共同校准比较空间；SDGA的监督范围由两类样本对确定，因此生成阶段采用相对距离实施粒度分工，不额外构造各状态的三元组约束。</w:t>
      </w:r>
    </w:p>
    <w:p w14:paraId="22C1F7D2">
      <w:pPr>
        <w:ind w:firstLine="420"/>
        <w:rPr>
          <w:rFonts w:cs="Times New Roman"/>
          <w:color w:val="000000"/>
        </w:rPr>
      </w:pPr>
      <w:r>
        <w:rPr>
          <w:rFonts w:hint="eastAsia"/>
        </w:rPr>
        <w:t>为提供有效关系对，训练采用</w:t>
      </w:r>
      <w:r>
        <w:t xml:space="preserve"> </w:t>
      </w:r>
      <m:oMath>
        <m:r>
          <m:rPr/>
          <w:rPr>
            <w:rFonts w:ascii="Cambria Math" w:hAnsi="Cambria Math"/>
          </w:rPr>
          <m:t>P</m:t>
        </m:r>
        <m:r>
          <m:rPr>
            <m:sty m:val="p"/>
          </m:rPr>
          <w:rPr>
            <w:rFonts w:ascii="Cambria Math" w:hAnsi="Cambria Math"/>
          </w:rPr>
          <m:t>×</m:t>
        </m:r>
        <m:r>
          <m:rPr/>
          <w:rPr>
            <w:rFonts w:ascii="Cambria Math" w:hAnsi="Cambria Math"/>
          </w:rPr>
          <m:t>K</m:t>
        </m:r>
      </m:oMath>
      <w:r>
        <w:t xml:space="preserve"> </w:t>
      </w:r>
      <w:r>
        <w:rPr>
          <w:rFonts w:hint="eastAsia"/>
        </w:rPr>
        <w:t>类别均衡采样，并按类别分配时间步，使同类实例共享状态、各状态包含多个类别，每类包含不同实例。记</w:t>
      </w:r>
      <w:r>
        <w:t xml:space="preserve"> </w:t>
      </w:r>
      <m:oMath>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)|&gt;</m:t>
        </m:r>
        <m:r>
          <m:rPr/>
          <w:rPr>
            <w:rFonts w:ascii="Cambria Math" w:hAnsi="Cambria Math"/>
          </w:rPr>
          <m:t>0</m:t>
        </m:r>
        <m:r>
          <m:rPr>
            <m:sty m:val="p"/>
          </m:rPr>
          <w:rPr>
            <w:rFonts w:ascii="Cambria Math" w:hAnsi="Cambria Math"/>
          </w:rPr>
          <m:t>}</m:t>
        </m:r>
      </m:oMath>
      <w:r>
        <w:t xml:space="preserve"> </w:t>
      </w:r>
      <w:r>
        <w:rPr>
          <w:rFonts w:hint="eastAsia"/>
        </w:rPr>
        <w:t>为有效状态集合，各状态先平均样本对损失，再进行状态聚合，以区分关系对数量与状态贡献。</w:t>
      </w:r>
    </w:p>
    <w:p w14:paraId="064CEA5D">
      <w:pPr>
        <w:pStyle w:val="4"/>
      </w:pPr>
      <w:r>
        <w:rPr>
          <w:rFonts w:hint="eastAsia"/>
        </w:rPr>
        <w:t>粒度感知状态重加权</w:t>
      </w:r>
    </w:p>
    <w:p w14:paraId="4FC7B8AB">
      <w:pPr>
        <w:ind w:firstLine="420"/>
      </w:pPr>
      <w:r>
        <w:rPr>
          <w:rFonts w:hint="eastAsia"/>
        </w:rPr>
        <w:t>SDGA在各扩散状态内分别约束跨类语义关系与类内实例关系，但不同状态下生成器能够利用的视觉信号有所不同。为使关系监督随实际噪声水平调整，我们引入粒度感知状态重加权（Granularity-Aware State Reweighting，GSR），以生成器输入的信号保留率参数化两类关系的状态权重。该机制分别设置类别级与实例级关系的状态敏感性，使两类监督能够采用不同的状态分配曲线；同时引入非零权重下限，以保留低信号状态下的关系监督。</w:t>
      </w:r>
    </w:p>
    <w:p w14:paraId="3C044B84">
      <w:pPr>
        <w:ind w:firstLine="420"/>
      </w:pPr>
      <w:r>
        <w:rPr>
          <w:rFonts w:hint="eastAsia"/>
        </w:rPr>
        <w:t>生成步</w:t>
      </w:r>
      <w:r>
        <w:t xml:space="preserve"> </w:t>
      </w:r>
      <m:oMath>
        <m:r>
          <m:rPr/>
          <w:rPr>
            <w:rFonts w:ascii="Cambria Math" w:hAnsi="Cambria Math"/>
          </w:rPr>
          <m:t>t</m:t>
        </m:r>
      </m:oMath>
      <w:r>
        <w:t xml:space="preserve"> </w:t>
      </w:r>
      <w:r>
        <w:rPr>
          <w:rFonts w:hint="eastAsia"/>
        </w:rPr>
        <w:t>的输入为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rPr>
          <w:rFonts w:hint="eastAsia"/>
        </w:rPr>
        <w:t>，以</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t xml:space="preserve"> </w:t>
      </w:r>
      <w:r>
        <w:rPr>
          <w:rFonts w:hint="eastAsia"/>
        </w:rPr>
        <w:t>表征其信号保留率，其中</w:t>
      </w:r>
      <w:r>
        <w:t xml:space="preserve"> </w:t>
      </w:r>
      <m:oMath>
        <m:acc>
          <m:accPr>
            <m:chr m:val="‾"/>
            <m:ctrlPr>
              <w:rPr>
                <w:rFonts w:ascii="Cambria Math" w:hAnsi="Cambria Math"/>
              </w:rPr>
            </m:ctrlPr>
          </m:accPr>
          <m:e>
            <m:r>
              <m:rPr/>
              <w:rPr>
                <w:rFonts w:ascii="Cambria Math" w:hAnsi="Cambria Math"/>
              </w:rPr>
              <m:t>α</m:t>
            </m:r>
            <m:ctrlPr>
              <w:rPr>
                <w:rFonts w:ascii="Cambria Math" w:hAnsi="Cambria Math"/>
              </w:rPr>
            </m:ctrlPr>
          </m:e>
        </m:acc>
      </m:oMath>
      <w:r>
        <w:t xml:space="preserve"> </w:t>
      </w:r>
      <w:r>
        <w:rPr>
          <w:rFonts w:hint="eastAsia"/>
        </w:rPr>
        <w:t>为扩散日程的累计信号系数。相较线性时间步索引，该量直接对应实际日程中的信号变化。对于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，采用可调幂函数构造权重：</w:t>
      </w:r>
    </w:p>
    <w:p w14:paraId="0BD1E72A">
      <w:pPr>
        <w:ind w:firstLine="420"/>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f</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f</m:t>
          </m:r>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up>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p>
          </m:sSubSup>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τ</m:t>
                  </m:r>
                  <m:r>
                    <m:rPr>
                      <m:sty m:val="p"/>
                    </m:rPr>
                    <w:rPr>
                      <w:rFonts w:ascii="Cambria Math" w:hAnsi="Cambria Math"/>
                    </w:rPr>
                    <m:t>=</m:t>
                  </m:r>
                  <m:r>
                    <m:rPr/>
                    <w:rPr>
                      <w:rFonts w:ascii="Cambria Math" w:hAnsi="Cambria Math"/>
                    </w:rPr>
                    <m:t>0</m:t>
                  </m:r>
                  <m:ctrlPr>
                    <w:rPr>
                      <w:rFonts w:ascii="Cambria Math" w:hAnsi="Cambria Math"/>
                    </w:rPr>
                  </m:ctrlPr>
                </m:sub>
                <m:sup>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den>
          </m:f>
          <m:r>
            <m:rPr>
              <m:sty m:val="p"/>
            </m:rPr>
            <w:rPr>
              <w:rFonts w:ascii="Cambria Math" w:hAnsi="Cambria Math"/>
            </w:rPr>
            <m:t>.</m:t>
          </m:r>
        </m:oMath>
      </m:oMathPara>
    </w:p>
    <w:p w14:paraId="0E9DF26E">
      <w:pPr>
        <w:ind w:firstLine="420"/>
      </w:pPr>
      <w:r>
        <w:rPr>
          <w:rFonts w:hint="eastAsia"/>
        </w:rPr>
        <w:t>其中，</w:t>
      </w:r>
      <m:oMath>
        <m:r>
          <m:rPr/>
          <w:rPr>
            <w:rFonts w:ascii="Cambria Math" w:hAnsi="Cambria Math"/>
          </w:rPr>
          <m:t>0</m:t>
        </m:r>
        <m:r>
          <m:rPr>
            <m:sty m:val="p"/>
          </m:rPr>
          <w:rPr>
            <w:rFonts w:ascii="Cambria Math" w:hAnsi="Cambria Math"/>
          </w:rPr>
          <m:t>&lt;</m:t>
        </m:r>
        <m:r>
          <m:rPr/>
          <w:rPr>
            <w:rFonts w:ascii="Cambria Math" w:hAnsi="Cambria Math"/>
          </w:rPr>
          <m:t>f</m:t>
        </m:r>
        <m:r>
          <m:rPr>
            <m:sty m:val="p"/>
          </m:rPr>
          <w:rPr>
            <w:rFonts w:ascii="Cambria Math" w:hAnsi="Cambria Math"/>
          </w:rPr>
          <m:t>≤</m:t>
        </m:r>
        <m:r>
          <m:rPr/>
          <w:rPr>
            <w:rFonts w:ascii="Cambria Math" w:hAnsi="Cambria Math"/>
          </w:rPr>
          <m:t>1</m:t>
        </m:r>
      </m:oMath>
      <w:r>
        <w:t xml:space="preserve"> </w:t>
      </w:r>
      <w:r>
        <w:rPr>
          <w:rFonts w:hint="eastAsia"/>
        </w:rPr>
        <w:t>保留高噪声状态的监督，</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调节衰减曲线。设置</w:t>
      </w:r>
      <w:r>
        <w:t xml:space="preserv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w:r>
        <w:t xml:space="preserve"> </w:t>
      </w:r>
      <w:r>
        <w:rPr>
          <w:rFonts w:hint="eastAsia"/>
        </w:rPr>
        <w:t>且</w:t>
      </w:r>
      <w:r>
        <w:t xml:space="preserve"> </w:t>
      </w:r>
      <m:oMath>
        <m:r>
          <m:rPr/>
          <w:rPr>
            <w:rFonts w:ascii="Cambria Math" w:hAnsi="Cambria Math"/>
          </w:rPr>
          <m:t>f</m:t>
        </m:r>
        <m:r>
          <m:rPr>
            <m:sty m:val="p"/>
          </m:rPr>
          <w:rPr>
            <w:rFonts w:ascii="Cambria Math" w:hAnsi="Cambria Math"/>
          </w:rPr>
          <m:t>&lt;</m:t>
        </m:r>
        <m:r>
          <m:rPr/>
          <w:rPr>
            <w:rFonts w:ascii="Cambria Math" w:hAnsi="Cambria Math"/>
          </w:rPr>
          <m:t>1</m:t>
        </m:r>
      </m:oMath>
      <w:r>
        <w:rPr>
          <w:rFonts w:hint="eastAsia"/>
        </w:rPr>
        <w:t>，会使实例级原始权重在中低信号状态下衰减得更快。完整日程归一化使每种粒度的权重均值为1，从而将状态分配</w:t>
      </w:r>
      <w: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与粒度强度</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区分开；原始权重的跨粒度大小关系不必在归一化后逐点保持。共享指数对应共享调度，零指数恢复等权监督。</w:t>
      </w:r>
    </w:p>
    <w:p w14:paraId="5C6A13F7">
      <w:pPr>
        <w:ind w:firstLine="420"/>
      </w:pPr>
      <w:r>
        <w:rPr>
          <w:rFonts w:hint="eastAsia"/>
        </w:rPr>
        <w:t>重加权后的粒度损失及联合生成目标为</w:t>
      </w:r>
    </w:p>
    <w:p w14:paraId="6C8CD8CC">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GSR</m:t>
                  </m:r>
                  <m:ctrlPr>
                    <w:rPr>
                      <w:rFonts w:ascii="Cambria Math" w:hAnsi="Cambria Math"/>
                    </w:rPr>
                  </m:ctrlPr>
                </m:sup>
              </m:sSubSup>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max(</m:t>
                  </m:r>
                  <m:r>
                    <m:rPr/>
                    <w:rPr>
                      <w:rFonts w:ascii="Cambria Math" w:hAnsi="Cambria Math"/>
                    </w:rPr>
                    <m:t>1</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GSR</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GSR</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m:sty m:val="p"/>
                </m:rPr>
                <w:rPr>
                  <w:rFonts w:ascii="Cambria Math" w:hAnsi="Cambria Math"/>
                </w:rPr>
                <m:t>.</m:t>
              </m:r>
              <m:ctrlPr>
                <w:rPr>
                  <w:rFonts w:ascii="Cambria Math" w:hAnsi="Cambria Math"/>
                </w:rPr>
              </m:ctrlPr>
            </m:e>
          </m:eqArr>
        </m:oMath>
      </m:oMathPara>
    </w:p>
    <w:p w14:paraId="726603CA">
      <w:pPr>
        <w:ind w:firstLine="420"/>
        <w:rPr>
          <w:rFonts w:cs="Times New Roman"/>
          <w:color w:val="000000"/>
        </w:rPr>
      </w:pPr>
      <w:r>
        <w:rPr>
          <w:rFonts w:hint="eastAsia"/>
        </w:rPr>
        <w:t>其中，</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分别控制两种粒度的监督强度，</w:t>
      </w:r>
      <m:oMath>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控制关系监督的整体贡献，</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oMath>
      <w:r>
        <w:t xml:space="preserve"> </w:t>
      </w:r>
      <w:r>
        <w:rPr>
          <w:rFonts w:hint="eastAsia"/>
        </w:rPr>
        <w:t>沿用ZeroDiff的基础生成目标。权重始终按完整日程归一化，损失按有效状态数聚合，不依据当前批次的权重和重新归一化。</w:t>
      </w:r>
    </w:p>
    <w:p w14:paraId="4EAC5BFC">
      <w:pPr>
        <w:pStyle w:val="3"/>
      </w:pPr>
      <w:r>
        <w:rPr>
          <w:rFonts w:hint="eastAsia"/>
        </w:rPr>
        <w:t>整体概述</w:t>
      </w:r>
    </w:p>
    <w:p w14:paraId="4551B946">
      <w:pPr>
        <w:ind w:firstLine="420"/>
      </w:pPr>
      <w:r>
        <w:rPr>
          <w:rFonts w:hint="eastAsia"/>
        </w:rPr>
        <w:t>训练时，先利用真实已见类批次更新关系投影器，再固定其参数，以关系目标与基础生成目标联合更新视觉生成器；关系梯度仍可经</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oMath>
      <w:r>
        <w:t xml:space="preserve"> </w:t>
      </w:r>
      <w:r>
        <w:rPr>
          <w:rFonts w:hint="eastAsia"/>
        </w:rPr>
        <w:t>传回生成器，基础判别器按原有目标更新。训练完成后，冻结扩散表征生成器</w:t>
      </w:r>
      <w:r>
        <w:t xml:space="preserve">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与视觉特征生成器</w:t>
      </w:r>
      <w:r>
        <w:t xml:space="preserve"> </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。推理时，</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根据未见类别语义合成对比表征，</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进一步以类别语义和合成表征为条件生成视觉特征，随后利用合成数据训练轻量分类器完成零样本识别。</w:t>
      </w:r>
    </w:p>
    <w:p w14:paraId="6B3D8D64">
      <w:pPr>
        <w:pStyle w:val="2"/>
      </w:pPr>
      <w:r>
        <w:rPr>
          <w:rFonts w:hint="eastAsia"/>
        </w:rPr>
        <w:t>Experiments</w:t>
      </w:r>
    </w:p>
    <w:p w14:paraId="2E2610D5">
      <w:pPr>
        <w:pStyle w:val="3"/>
      </w:pPr>
      <w:r>
        <w:rPr>
          <w:rFonts w:hint="eastAsia"/>
        </w:rPr>
        <w:t>Experimental Settings</w:t>
      </w:r>
    </w:p>
    <w:p w14:paraId="50ACAAC4">
      <w:pPr>
        <w:pStyle w:val="3"/>
      </w:pPr>
      <w:r>
        <w:rPr>
          <w:rFonts w:hint="eastAsia"/>
        </w:rPr>
        <w:t>Comparison with State-of-the-Art Methods</w:t>
      </w:r>
    </w:p>
    <w:p w14:paraId="759BA5DF">
      <w:pPr>
        <w:ind w:firstLine="420"/>
      </w:pPr>
      <w:r>
        <w:t>在 AWA2、CUB、SUN 上比较 ZSL Top-1 和 GZSL 的 U、S、H，重点与 ZeroDiff 及同类生成方法比较。</w:t>
      </w:r>
    </w:p>
    <w:tbl>
      <w:tblPr>
        <w:tblStyle w:val="2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2"/>
        <w:gridCol w:w="833"/>
        <w:gridCol w:w="677"/>
        <w:gridCol w:w="677"/>
        <w:gridCol w:w="677"/>
        <w:gridCol w:w="677"/>
        <w:gridCol w:w="677"/>
        <w:gridCol w:w="677"/>
        <w:gridCol w:w="677"/>
        <w:gridCol w:w="677"/>
        <w:gridCol w:w="677"/>
        <w:gridCol w:w="677"/>
        <w:gridCol w:w="677"/>
        <w:gridCol w:w="677"/>
      </w:tblGrid>
      <w:tr w14:paraId="179A10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restart"/>
            <w:tcBorders>
              <w:bottom w:val="single" w:color="000000" w:sz="6" w:space="0"/>
            </w:tcBorders>
            <w:tcMar>
              <w:top w:w="55" w:type="dxa"/>
              <w:left w:w="25" w:type="dxa"/>
              <w:bottom w:w="55" w:type="dxa"/>
              <w:right w:w="25" w:type="dxa"/>
            </w:tcMar>
            <w:vAlign w:val="center"/>
          </w:tcPr>
          <w:p w14:paraId="2327E3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Method</w:t>
            </w:r>
          </w:p>
        </w:tc>
        <w:tc>
          <w:tcPr>
            <w:tcW w:w="833" w:type="dxa"/>
            <w:vMerge w:val="restart"/>
            <w:tcBorders>
              <w:bottom w:val="single" w:color="000000" w:sz="6" w:space="0"/>
            </w:tcBorders>
            <w:tcMar>
              <w:top w:w="55" w:type="dxa"/>
              <w:left w:w="25" w:type="dxa"/>
              <w:bottom w:w="55" w:type="dxa"/>
              <w:right w:w="25" w:type="dxa"/>
            </w:tcMar>
            <w:vAlign w:val="center"/>
          </w:tcPr>
          <w:p w14:paraId="23723D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Source</w:t>
            </w:r>
          </w:p>
        </w:tc>
        <w:tc>
          <w:tcPr>
            <w:tcW w:w="2031" w:type="dxa"/>
            <w:gridSpan w:val="3"/>
            <w:tcMar>
              <w:top w:w="55" w:type="dxa"/>
              <w:left w:w="25" w:type="dxa"/>
              <w:bottom w:w="55" w:type="dxa"/>
              <w:right w:w="25" w:type="dxa"/>
            </w:tcMar>
            <w:vAlign w:val="center"/>
          </w:tcPr>
          <w:p w14:paraId="6E00F50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ZSL</w:t>
            </w:r>
          </w:p>
        </w:tc>
        <w:tc>
          <w:tcPr>
            <w:tcW w:w="6093" w:type="dxa"/>
            <w:gridSpan w:val="9"/>
            <w:tcMar>
              <w:top w:w="55" w:type="dxa"/>
              <w:left w:w="25" w:type="dxa"/>
              <w:bottom w:w="55" w:type="dxa"/>
              <w:right w:w="25" w:type="dxa"/>
            </w:tcMar>
            <w:vAlign w:val="center"/>
          </w:tcPr>
          <w:p w14:paraId="6886BE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GZSL</w:t>
            </w:r>
          </w:p>
        </w:tc>
      </w:tr>
      <w:tr w14:paraId="26AEF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70D34E53">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708F97C1">
            <w:pPr>
              <w:widowControl/>
              <w:spacing w:after="200" w:line="276" w:lineRule="auto"/>
              <w:ind w:firstLine="0" w:firstLineChars="0"/>
              <w:jc w:val="left"/>
              <w:rPr>
                <w:rFonts w:ascii="Cambria" w:hAnsi="Cambria" w:cs="Times New Roman"/>
                <w:kern w:val="0"/>
                <w:sz w:val="22"/>
                <w:lang w:eastAsia="en-US"/>
              </w:rPr>
            </w:pPr>
          </w:p>
        </w:tc>
        <w:tc>
          <w:tcPr>
            <w:tcW w:w="677" w:type="dxa"/>
            <w:tcMar>
              <w:top w:w="55" w:type="dxa"/>
              <w:left w:w="25" w:type="dxa"/>
              <w:bottom w:w="55" w:type="dxa"/>
              <w:right w:w="25" w:type="dxa"/>
            </w:tcMar>
            <w:vAlign w:val="center"/>
          </w:tcPr>
          <w:p w14:paraId="3A8D50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677" w:type="dxa"/>
            <w:tcMar>
              <w:top w:w="55" w:type="dxa"/>
              <w:left w:w="25" w:type="dxa"/>
              <w:bottom w:w="55" w:type="dxa"/>
              <w:right w:w="25" w:type="dxa"/>
            </w:tcMar>
            <w:vAlign w:val="center"/>
          </w:tcPr>
          <w:p w14:paraId="169605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677" w:type="dxa"/>
            <w:tcMar>
              <w:top w:w="55" w:type="dxa"/>
              <w:left w:w="25" w:type="dxa"/>
              <w:bottom w:w="55" w:type="dxa"/>
              <w:right w:w="25" w:type="dxa"/>
            </w:tcMar>
            <w:vAlign w:val="center"/>
          </w:tcPr>
          <w:p w14:paraId="1EE5FD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c>
          <w:tcPr>
            <w:tcW w:w="2031" w:type="dxa"/>
            <w:gridSpan w:val="3"/>
            <w:tcMar>
              <w:top w:w="55" w:type="dxa"/>
              <w:left w:w="25" w:type="dxa"/>
              <w:bottom w:w="55" w:type="dxa"/>
              <w:right w:w="25" w:type="dxa"/>
            </w:tcMar>
            <w:vAlign w:val="center"/>
          </w:tcPr>
          <w:p w14:paraId="76CA590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2031" w:type="dxa"/>
            <w:gridSpan w:val="3"/>
            <w:tcMar>
              <w:top w:w="55" w:type="dxa"/>
              <w:left w:w="25" w:type="dxa"/>
              <w:bottom w:w="55" w:type="dxa"/>
              <w:right w:w="25" w:type="dxa"/>
            </w:tcMar>
            <w:vAlign w:val="center"/>
          </w:tcPr>
          <w:p w14:paraId="4D13B0A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2031" w:type="dxa"/>
            <w:gridSpan w:val="3"/>
            <w:tcMar>
              <w:top w:w="55" w:type="dxa"/>
              <w:left w:w="25" w:type="dxa"/>
              <w:bottom w:w="55" w:type="dxa"/>
              <w:right w:w="25" w:type="dxa"/>
            </w:tcMar>
            <w:vAlign w:val="center"/>
          </w:tcPr>
          <w:p w14:paraId="7552786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r>
      <w:tr w14:paraId="2DC7E1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4466A65F">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33CBE86E">
            <w:pPr>
              <w:widowControl/>
              <w:spacing w:after="200" w:line="276" w:lineRule="auto"/>
              <w:ind w:firstLine="0" w:firstLineChars="0"/>
              <w:jc w:val="left"/>
              <w:rPr>
                <w:rFonts w:ascii="Cambria" w:hAnsi="Cambria" w:cs="Times New Roman"/>
                <w:kern w:val="0"/>
                <w:sz w:val="22"/>
                <w:lang w:eastAsia="en-US"/>
              </w:rPr>
            </w:pPr>
          </w:p>
        </w:tc>
        <w:tc>
          <w:tcPr>
            <w:tcW w:w="677" w:type="dxa"/>
            <w:tcBorders>
              <w:bottom w:val="single" w:color="000000" w:sz="6" w:space="0"/>
            </w:tcBorders>
            <w:tcMar>
              <w:top w:w="55" w:type="dxa"/>
              <w:left w:w="25" w:type="dxa"/>
              <w:bottom w:w="55" w:type="dxa"/>
              <w:right w:w="25" w:type="dxa"/>
            </w:tcMar>
            <w:vAlign w:val="center"/>
          </w:tcPr>
          <w:p w14:paraId="0709FA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31E7D85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23219B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76F050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2CA429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72EA1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288B3F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643D0A6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2981D1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4B7692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75FFF3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18988E1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r>
      <w:tr w14:paraId="366C4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616D592">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CE-GZSL</w:t>
            </w:r>
          </w:p>
        </w:tc>
        <w:tc>
          <w:tcPr>
            <w:tcW w:w="833" w:type="dxa"/>
            <w:tcMar>
              <w:top w:w="55" w:type="dxa"/>
              <w:left w:w="25" w:type="dxa"/>
              <w:bottom w:w="55" w:type="dxa"/>
              <w:right w:w="25" w:type="dxa"/>
            </w:tcMar>
            <w:vAlign w:val="center"/>
          </w:tcPr>
          <w:p w14:paraId="6BD0EF0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21CVPR</w:t>
            </w:r>
          </w:p>
        </w:tc>
        <w:tc>
          <w:tcPr>
            <w:tcW w:w="677" w:type="dxa"/>
            <w:tcMar>
              <w:top w:w="55" w:type="dxa"/>
              <w:left w:w="25" w:type="dxa"/>
              <w:bottom w:w="55" w:type="dxa"/>
              <w:right w:w="25" w:type="dxa"/>
            </w:tcMar>
            <w:vAlign w:val="center"/>
          </w:tcPr>
          <w:p w14:paraId="3752121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0360208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1AB0AB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63.3</w:t>
            </w:r>
          </w:p>
        </w:tc>
        <w:tc>
          <w:tcPr>
            <w:tcW w:w="677" w:type="dxa"/>
            <w:tcMar>
              <w:top w:w="55" w:type="dxa"/>
              <w:left w:w="25" w:type="dxa"/>
              <w:bottom w:w="55" w:type="dxa"/>
              <w:right w:w="25" w:type="dxa"/>
            </w:tcMar>
            <w:vAlign w:val="center"/>
          </w:tcPr>
          <w:p w14:paraId="7C4D48A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63.1</w:t>
            </w:r>
          </w:p>
        </w:tc>
        <w:tc>
          <w:tcPr>
            <w:tcW w:w="677" w:type="dxa"/>
            <w:tcMar>
              <w:top w:w="55" w:type="dxa"/>
              <w:left w:w="25" w:type="dxa"/>
              <w:bottom w:w="55" w:type="dxa"/>
              <w:right w:w="25" w:type="dxa"/>
            </w:tcMar>
            <w:vAlign w:val="center"/>
          </w:tcPr>
          <w:p w14:paraId="202815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78.6</w:t>
            </w:r>
          </w:p>
        </w:tc>
        <w:tc>
          <w:tcPr>
            <w:tcW w:w="677" w:type="dxa"/>
            <w:tcMar>
              <w:top w:w="55" w:type="dxa"/>
              <w:left w:w="25" w:type="dxa"/>
              <w:bottom w:w="55" w:type="dxa"/>
              <w:right w:w="25" w:type="dxa"/>
            </w:tcMar>
            <w:vAlign w:val="center"/>
          </w:tcPr>
          <w:p w14:paraId="75CFC5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70.0</w:t>
            </w:r>
          </w:p>
        </w:tc>
        <w:tc>
          <w:tcPr>
            <w:tcW w:w="677" w:type="dxa"/>
            <w:tcMar>
              <w:top w:w="55" w:type="dxa"/>
              <w:left w:w="25" w:type="dxa"/>
              <w:bottom w:w="55" w:type="dxa"/>
              <w:right w:w="25" w:type="dxa"/>
            </w:tcMar>
            <w:vAlign w:val="center"/>
          </w:tcPr>
          <w:p w14:paraId="4F502E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63.9</w:t>
            </w:r>
          </w:p>
        </w:tc>
        <w:tc>
          <w:tcPr>
            <w:tcW w:w="677" w:type="dxa"/>
            <w:tcMar>
              <w:top w:w="55" w:type="dxa"/>
              <w:left w:w="25" w:type="dxa"/>
              <w:bottom w:w="55" w:type="dxa"/>
              <w:right w:w="25" w:type="dxa"/>
            </w:tcMar>
            <w:vAlign w:val="center"/>
          </w:tcPr>
          <w:p w14:paraId="6F0FFE9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66.8</w:t>
            </w:r>
          </w:p>
        </w:tc>
        <w:tc>
          <w:tcPr>
            <w:tcW w:w="677" w:type="dxa"/>
            <w:tcMar>
              <w:top w:w="55" w:type="dxa"/>
              <w:left w:w="25" w:type="dxa"/>
              <w:bottom w:w="55" w:type="dxa"/>
              <w:right w:w="25" w:type="dxa"/>
            </w:tcMar>
            <w:vAlign w:val="center"/>
          </w:tcPr>
          <w:p w14:paraId="33E9C4B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65.3</w:t>
            </w:r>
          </w:p>
        </w:tc>
        <w:tc>
          <w:tcPr>
            <w:tcW w:w="677" w:type="dxa"/>
            <w:tcMar>
              <w:top w:w="55" w:type="dxa"/>
              <w:left w:w="25" w:type="dxa"/>
              <w:bottom w:w="55" w:type="dxa"/>
              <w:right w:w="25" w:type="dxa"/>
            </w:tcMar>
            <w:vAlign w:val="center"/>
          </w:tcPr>
          <w:p w14:paraId="1D8544C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48.8</w:t>
            </w:r>
          </w:p>
        </w:tc>
        <w:tc>
          <w:tcPr>
            <w:tcW w:w="677" w:type="dxa"/>
            <w:tcMar>
              <w:top w:w="55" w:type="dxa"/>
              <w:left w:w="25" w:type="dxa"/>
              <w:bottom w:w="55" w:type="dxa"/>
              <w:right w:w="25" w:type="dxa"/>
            </w:tcMar>
            <w:vAlign w:val="center"/>
          </w:tcPr>
          <w:p w14:paraId="6C4B7E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38.6</w:t>
            </w:r>
          </w:p>
        </w:tc>
        <w:tc>
          <w:tcPr>
            <w:tcW w:w="677" w:type="dxa"/>
            <w:tcMar>
              <w:top w:w="55" w:type="dxa"/>
              <w:left w:w="25" w:type="dxa"/>
              <w:bottom w:w="55" w:type="dxa"/>
              <w:right w:w="25" w:type="dxa"/>
            </w:tcMar>
            <w:vAlign w:val="center"/>
          </w:tcPr>
          <w:p w14:paraId="292A611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43.1</w:t>
            </w:r>
          </w:p>
        </w:tc>
      </w:tr>
      <w:tr w14:paraId="6C04F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AD621F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FREE</w:t>
            </w:r>
          </w:p>
        </w:tc>
        <w:tc>
          <w:tcPr>
            <w:tcW w:w="833" w:type="dxa"/>
            <w:tcMar>
              <w:top w:w="55" w:type="dxa"/>
              <w:left w:w="25" w:type="dxa"/>
              <w:bottom w:w="55" w:type="dxa"/>
              <w:right w:w="25" w:type="dxa"/>
            </w:tcMar>
            <w:vAlign w:val="center"/>
          </w:tcPr>
          <w:p w14:paraId="77FE4F2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21ICCV</w:t>
            </w:r>
          </w:p>
        </w:tc>
        <w:tc>
          <w:tcPr>
            <w:tcW w:w="677" w:type="dxa"/>
            <w:tcMar>
              <w:top w:w="55" w:type="dxa"/>
              <w:left w:w="25" w:type="dxa"/>
              <w:bottom w:w="55" w:type="dxa"/>
              <w:right w:w="25" w:type="dxa"/>
            </w:tcMar>
            <w:vAlign w:val="center"/>
          </w:tcPr>
          <w:p w14:paraId="735C0D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58857D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630C6D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3A4F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60.4</w:t>
            </w:r>
          </w:p>
        </w:tc>
        <w:tc>
          <w:tcPr>
            <w:tcW w:w="677" w:type="dxa"/>
            <w:tcMar>
              <w:top w:w="55" w:type="dxa"/>
              <w:left w:w="25" w:type="dxa"/>
              <w:bottom w:w="55" w:type="dxa"/>
              <w:right w:w="25" w:type="dxa"/>
            </w:tcMar>
            <w:vAlign w:val="center"/>
          </w:tcPr>
          <w:p w14:paraId="36570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1864DB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67.1</w:t>
            </w:r>
          </w:p>
        </w:tc>
        <w:tc>
          <w:tcPr>
            <w:tcW w:w="677" w:type="dxa"/>
            <w:tcMar>
              <w:top w:w="55" w:type="dxa"/>
              <w:left w:w="25" w:type="dxa"/>
              <w:bottom w:w="55" w:type="dxa"/>
              <w:right w:w="25" w:type="dxa"/>
            </w:tcMar>
            <w:vAlign w:val="center"/>
          </w:tcPr>
          <w:p w14:paraId="004310A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c>
          <w:tcPr>
            <w:tcW w:w="677" w:type="dxa"/>
            <w:tcMar>
              <w:top w:w="55" w:type="dxa"/>
              <w:left w:w="25" w:type="dxa"/>
              <w:bottom w:w="55" w:type="dxa"/>
              <w:right w:w="25" w:type="dxa"/>
            </w:tcMar>
            <w:vAlign w:val="center"/>
          </w:tcPr>
          <w:p w14:paraId="2959F5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59.9</w:t>
            </w:r>
          </w:p>
        </w:tc>
        <w:tc>
          <w:tcPr>
            <w:tcW w:w="677" w:type="dxa"/>
            <w:tcMar>
              <w:top w:w="55" w:type="dxa"/>
              <w:left w:w="25" w:type="dxa"/>
              <w:bottom w:w="55" w:type="dxa"/>
              <w:right w:w="25" w:type="dxa"/>
            </w:tcMar>
            <w:vAlign w:val="center"/>
          </w:tcPr>
          <w:p w14:paraId="7D59A3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57.7</w:t>
            </w:r>
          </w:p>
        </w:tc>
        <w:tc>
          <w:tcPr>
            <w:tcW w:w="677" w:type="dxa"/>
            <w:tcMar>
              <w:top w:w="55" w:type="dxa"/>
              <w:left w:w="25" w:type="dxa"/>
              <w:bottom w:w="55" w:type="dxa"/>
              <w:right w:w="25" w:type="dxa"/>
            </w:tcMar>
            <w:vAlign w:val="center"/>
          </w:tcPr>
          <w:p w14:paraId="730282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47.4</w:t>
            </w:r>
          </w:p>
        </w:tc>
        <w:tc>
          <w:tcPr>
            <w:tcW w:w="677" w:type="dxa"/>
            <w:tcMar>
              <w:top w:w="55" w:type="dxa"/>
              <w:left w:w="25" w:type="dxa"/>
              <w:bottom w:w="55" w:type="dxa"/>
              <w:right w:w="25" w:type="dxa"/>
            </w:tcMar>
            <w:vAlign w:val="center"/>
          </w:tcPr>
          <w:p w14:paraId="470D67C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37.2</w:t>
            </w:r>
          </w:p>
        </w:tc>
        <w:tc>
          <w:tcPr>
            <w:tcW w:w="677" w:type="dxa"/>
            <w:tcMar>
              <w:top w:w="55" w:type="dxa"/>
              <w:left w:w="25" w:type="dxa"/>
              <w:bottom w:w="55" w:type="dxa"/>
              <w:right w:w="25" w:type="dxa"/>
            </w:tcMar>
            <w:vAlign w:val="center"/>
          </w:tcPr>
          <w:p w14:paraId="337BA2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41.7</w:t>
            </w:r>
          </w:p>
        </w:tc>
      </w:tr>
      <w:tr w14:paraId="201200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9E3CF8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MSDN</w:t>
            </w:r>
          </w:p>
        </w:tc>
        <w:tc>
          <w:tcPr>
            <w:tcW w:w="833" w:type="dxa"/>
            <w:tcMar>
              <w:top w:w="55" w:type="dxa"/>
              <w:left w:w="25" w:type="dxa"/>
              <w:bottom w:w="55" w:type="dxa"/>
              <w:right w:w="25" w:type="dxa"/>
            </w:tcMar>
            <w:vAlign w:val="center"/>
          </w:tcPr>
          <w:p w14:paraId="63D55C3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22CVPR</w:t>
            </w:r>
          </w:p>
        </w:tc>
        <w:tc>
          <w:tcPr>
            <w:tcW w:w="677" w:type="dxa"/>
            <w:tcMar>
              <w:top w:w="55" w:type="dxa"/>
              <w:left w:w="25" w:type="dxa"/>
              <w:bottom w:w="55" w:type="dxa"/>
              <w:right w:w="25" w:type="dxa"/>
            </w:tcMar>
            <w:vAlign w:val="center"/>
          </w:tcPr>
          <w:p w14:paraId="77310C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59445B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76.1</w:t>
            </w:r>
          </w:p>
        </w:tc>
        <w:tc>
          <w:tcPr>
            <w:tcW w:w="677" w:type="dxa"/>
            <w:tcMar>
              <w:top w:w="55" w:type="dxa"/>
              <w:left w:w="25" w:type="dxa"/>
              <w:bottom w:w="55" w:type="dxa"/>
              <w:right w:w="25" w:type="dxa"/>
            </w:tcMar>
            <w:vAlign w:val="center"/>
          </w:tcPr>
          <w:p w14:paraId="279349F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65.8</w:t>
            </w:r>
          </w:p>
        </w:tc>
        <w:tc>
          <w:tcPr>
            <w:tcW w:w="677" w:type="dxa"/>
            <w:tcMar>
              <w:top w:w="55" w:type="dxa"/>
              <w:left w:w="25" w:type="dxa"/>
              <w:bottom w:w="55" w:type="dxa"/>
              <w:right w:w="25" w:type="dxa"/>
            </w:tcMar>
            <w:vAlign w:val="center"/>
          </w:tcPr>
          <w:p w14:paraId="2CB77E1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62.0</w:t>
            </w:r>
          </w:p>
        </w:tc>
        <w:tc>
          <w:tcPr>
            <w:tcW w:w="677" w:type="dxa"/>
            <w:tcMar>
              <w:top w:w="55" w:type="dxa"/>
              <w:left w:w="25" w:type="dxa"/>
              <w:bottom w:w="55" w:type="dxa"/>
              <w:right w:w="25" w:type="dxa"/>
            </w:tcMar>
            <w:vAlign w:val="center"/>
          </w:tcPr>
          <w:p w14:paraId="4D3C8EE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01596DD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06B5206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68.7</w:t>
            </w:r>
          </w:p>
        </w:tc>
        <w:tc>
          <w:tcPr>
            <w:tcW w:w="677" w:type="dxa"/>
            <w:tcMar>
              <w:top w:w="55" w:type="dxa"/>
              <w:left w:w="25" w:type="dxa"/>
              <w:bottom w:w="55" w:type="dxa"/>
              <w:right w:w="25" w:type="dxa"/>
            </w:tcMar>
            <w:vAlign w:val="center"/>
          </w:tcPr>
          <w:p w14:paraId="6A9569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67.5</w:t>
            </w:r>
          </w:p>
        </w:tc>
        <w:tc>
          <w:tcPr>
            <w:tcW w:w="677" w:type="dxa"/>
            <w:tcMar>
              <w:top w:w="55" w:type="dxa"/>
              <w:left w:w="25" w:type="dxa"/>
              <w:bottom w:w="55" w:type="dxa"/>
              <w:right w:w="25" w:type="dxa"/>
            </w:tcMar>
            <w:vAlign w:val="center"/>
          </w:tcPr>
          <w:p w14:paraId="524C4F0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68.1</w:t>
            </w:r>
          </w:p>
        </w:tc>
        <w:tc>
          <w:tcPr>
            <w:tcW w:w="677" w:type="dxa"/>
            <w:tcMar>
              <w:top w:w="55" w:type="dxa"/>
              <w:left w:w="25" w:type="dxa"/>
              <w:bottom w:w="55" w:type="dxa"/>
              <w:right w:w="25" w:type="dxa"/>
            </w:tcMar>
            <w:vAlign w:val="center"/>
          </w:tcPr>
          <w:p w14:paraId="3233059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40E8C8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34.2</w:t>
            </w:r>
          </w:p>
        </w:tc>
        <w:tc>
          <w:tcPr>
            <w:tcW w:w="677" w:type="dxa"/>
            <w:tcMar>
              <w:top w:w="55" w:type="dxa"/>
              <w:left w:w="25" w:type="dxa"/>
              <w:bottom w:w="55" w:type="dxa"/>
              <w:right w:w="25" w:type="dxa"/>
            </w:tcMar>
            <w:vAlign w:val="center"/>
          </w:tcPr>
          <w:p w14:paraId="5961F13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41.3</w:t>
            </w:r>
          </w:p>
        </w:tc>
      </w:tr>
      <w:tr w14:paraId="14725E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0DEFCBE">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21A2F18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23CVPR</w:t>
            </w:r>
          </w:p>
        </w:tc>
        <w:tc>
          <w:tcPr>
            <w:tcW w:w="677" w:type="dxa"/>
            <w:tcMar>
              <w:top w:w="55" w:type="dxa"/>
              <w:left w:w="25" w:type="dxa"/>
              <w:bottom w:w="55" w:type="dxa"/>
              <w:right w:w="25" w:type="dxa"/>
            </w:tcMar>
            <w:vAlign w:val="center"/>
          </w:tcPr>
          <w:p w14:paraId="54145F0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CADD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DB14F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32E5B4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0F90577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77.3</w:t>
            </w:r>
          </w:p>
        </w:tc>
        <w:tc>
          <w:tcPr>
            <w:tcW w:w="677" w:type="dxa"/>
            <w:tcMar>
              <w:top w:w="55" w:type="dxa"/>
              <w:left w:w="25" w:type="dxa"/>
              <w:bottom w:w="55" w:type="dxa"/>
              <w:right w:w="25" w:type="dxa"/>
            </w:tcMar>
            <w:vAlign w:val="center"/>
          </w:tcPr>
          <w:p w14:paraId="222E86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0458D2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45442D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0221B7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0BB983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61.7</w:t>
            </w:r>
          </w:p>
        </w:tc>
        <w:tc>
          <w:tcPr>
            <w:tcW w:w="677" w:type="dxa"/>
            <w:tcMar>
              <w:top w:w="55" w:type="dxa"/>
              <w:left w:w="25" w:type="dxa"/>
              <w:bottom w:w="55" w:type="dxa"/>
              <w:right w:w="25" w:type="dxa"/>
            </w:tcMar>
            <w:vAlign w:val="center"/>
          </w:tcPr>
          <w:p w14:paraId="6311E6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45.3</w:t>
            </w:r>
          </w:p>
        </w:tc>
        <w:tc>
          <w:tcPr>
            <w:tcW w:w="677" w:type="dxa"/>
            <w:tcMar>
              <w:top w:w="55" w:type="dxa"/>
              <w:left w:w="25" w:type="dxa"/>
              <w:bottom w:w="55" w:type="dxa"/>
              <w:right w:w="25" w:type="dxa"/>
            </w:tcMar>
            <w:vAlign w:val="center"/>
          </w:tcPr>
          <w:p w14:paraId="62C5D7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52.3</w:t>
            </w:r>
          </w:p>
        </w:tc>
      </w:tr>
      <w:tr w14:paraId="62A9B1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421A00C7">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RE-GZSL</w:t>
            </w:r>
          </w:p>
        </w:tc>
        <w:tc>
          <w:tcPr>
            <w:tcW w:w="833" w:type="dxa"/>
            <w:tcMar>
              <w:top w:w="55" w:type="dxa"/>
              <w:left w:w="25" w:type="dxa"/>
              <w:bottom w:w="55" w:type="dxa"/>
              <w:right w:w="25" w:type="dxa"/>
            </w:tcMar>
            <w:vAlign w:val="center"/>
          </w:tcPr>
          <w:p w14:paraId="44B423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24TCSVT</w:t>
            </w:r>
          </w:p>
        </w:tc>
        <w:tc>
          <w:tcPr>
            <w:tcW w:w="677" w:type="dxa"/>
            <w:tcMar>
              <w:top w:w="55" w:type="dxa"/>
              <w:left w:w="25" w:type="dxa"/>
              <w:bottom w:w="55" w:type="dxa"/>
              <w:right w:w="25" w:type="dxa"/>
            </w:tcMar>
            <w:vAlign w:val="center"/>
          </w:tcPr>
          <w:p w14:paraId="55A007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6D644E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05AA04B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E84D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760D039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81.1</w:t>
            </w:r>
          </w:p>
        </w:tc>
        <w:tc>
          <w:tcPr>
            <w:tcW w:w="677" w:type="dxa"/>
            <w:tcMar>
              <w:top w:w="55" w:type="dxa"/>
              <w:left w:w="25" w:type="dxa"/>
              <w:bottom w:w="55" w:type="dxa"/>
              <w:right w:w="25" w:type="dxa"/>
            </w:tcMar>
            <w:vAlign w:val="center"/>
          </w:tcPr>
          <w:p w14:paraId="0E945A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22D2DB1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72.3</w:t>
            </w:r>
          </w:p>
        </w:tc>
        <w:tc>
          <w:tcPr>
            <w:tcW w:w="677" w:type="dxa"/>
            <w:tcMar>
              <w:top w:w="55" w:type="dxa"/>
              <w:left w:w="25" w:type="dxa"/>
              <w:bottom w:w="55" w:type="dxa"/>
              <w:right w:w="25" w:type="dxa"/>
            </w:tcMar>
            <w:vAlign w:val="center"/>
          </w:tcPr>
          <w:p w14:paraId="13B498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62.4</w:t>
            </w:r>
          </w:p>
        </w:tc>
        <w:tc>
          <w:tcPr>
            <w:tcW w:w="677" w:type="dxa"/>
            <w:tcMar>
              <w:top w:w="55" w:type="dxa"/>
              <w:left w:w="25" w:type="dxa"/>
              <w:bottom w:w="55" w:type="dxa"/>
              <w:right w:w="25" w:type="dxa"/>
            </w:tcMar>
            <w:vAlign w:val="center"/>
          </w:tcPr>
          <w:p w14:paraId="1FFBE0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67.0</w:t>
            </w:r>
          </w:p>
        </w:tc>
        <w:tc>
          <w:tcPr>
            <w:tcW w:w="677" w:type="dxa"/>
            <w:tcMar>
              <w:top w:w="55" w:type="dxa"/>
              <w:left w:w="25" w:type="dxa"/>
              <w:bottom w:w="55" w:type="dxa"/>
              <w:right w:w="25" w:type="dxa"/>
            </w:tcMar>
            <w:vAlign w:val="center"/>
          </w:tcPr>
          <w:p w14:paraId="354D8B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54C6E75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91779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r>
      <w:tr w14:paraId="60DE9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848AFA8">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ZSLViT</w:t>
            </w:r>
          </w:p>
        </w:tc>
        <w:tc>
          <w:tcPr>
            <w:tcW w:w="833" w:type="dxa"/>
            <w:tcMar>
              <w:top w:w="55" w:type="dxa"/>
              <w:left w:w="25" w:type="dxa"/>
              <w:bottom w:w="55" w:type="dxa"/>
              <w:right w:w="25" w:type="dxa"/>
            </w:tcMar>
            <w:vAlign w:val="center"/>
          </w:tcPr>
          <w:p w14:paraId="4BF650A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5B5D9C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70.7</w:t>
            </w:r>
          </w:p>
        </w:tc>
        <w:tc>
          <w:tcPr>
            <w:tcW w:w="677" w:type="dxa"/>
            <w:tcMar>
              <w:top w:w="55" w:type="dxa"/>
              <w:left w:w="25" w:type="dxa"/>
              <w:bottom w:w="55" w:type="dxa"/>
              <w:right w:w="25" w:type="dxa"/>
            </w:tcMar>
            <w:vAlign w:val="center"/>
          </w:tcPr>
          <w:p w14:paraId="5AA0405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309382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68.3</w:t>
            </w:r>
          </w:p>
        </w:tc>
        <w:tc>
          <w:tcPr>
            <w:tcW w:w="677" w:type="dxa"/>
            <w:tcMar>
              <w:top w:w="55" w:type="dxa"/>
              <w:left w:w="25" w:type="dxa"/>
              <w:bottom w:w="55" w:type="dxa"/>
              <w:right w:w="25" w:type="dxa"/>
            </w:tcMar>
            <w:vAlign w:val="center"/>
          </w:tcPr>
          <w:p w14:paraId="7E03D88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66.1</w:t>
            </w:r>
          </w:p>
        </w:tc>
        <w:tc>
          <w:tcPr>
            <w:tcW w:w="677" w:type="dxa"/>
            <w:tcMar>
              <w:top w:w="55" w:type="dxa"/>
              <w:left w:w="25" w:type="dxa"/>
              <w:bottom w:w="55" w:type="dxa"/>
              <w:right w:w="25" w:type="dxa"/>
            </w:tcMar>
            <w:vAlign w:val="center"/>
          </w:tcPr>
          <w:p w14:paraId="7C8C773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84.6</w:t>
            </w:r>
          </w:p>
        </w:tc>
        <w:tc>
          <w:tcPr>
            <w:tcW w:w="677" w:type="dxa"/>
            <w:tcMar>
              <w:top w:w="55" w:type="dxa"/>
              <w:left w:w="25" w:type="dxa"/>
              <w:bottom w:w="55" w:type="dxa"/>
              <w:right w:w="25" w:type="dxa"/>
            </w:tcMar>
            <w:vAlign w:val="center"/>
          </w:tcPr>
          <w:p w14:paraId="162561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F45AC7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69.4</w:t>
            </w:r>
          </w:p>
        </w:tc>
        <w:tc>
          <w:tcPr>
            <w:tcW w:w="677" w:type="dxa"/>
            <w:tcMar>
              <w:top w:w="55" w:type="dxa"/>
              <w:left w:w="25" w:type="dxa"/>
              <w:bottom w:w="55" w:type="dxa"/>
              <w:right w:w="25" w:type="dxa"/>
            </w:tcMar>
            <w:vAlign w:val="center"/>
          </w:tcPr>
          <w:p w14:paraId="333E45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78.2</w:t>
            </w:r>
          </w:p>
        </w:tc>
        <w:tc>
          <w:tcPr>
            <w:tcW w:w="677" w:type="dxa"/>
            <w:tcMar>
              <w:top w:w="55" w:type="dxa"/>
              <w:left w:w="25" w:type="dxa"/>
              <w:bottom w:w="55" w:type="dxa"/>
              <w:right w:w="25" w:type="dxa"/>
            </w:tcMar>
            <w:vAlign w:val="center"/>
          </w:tcPr>
          <w:p w14:paraId="108FD86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3A9644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45.9</w:t>
            </w:r>
          </w:p>
        </w:tc>
        <w:tc>
          <w:tcPr>
            <w:tcW w:w="677" w:type="dxa"/>
            <w:tcMar>
              <w:top w:w="55" w:type="dxa"/>
              <w:left w:w="25" w:type="dxa"/>
              <w:bottom w:w="55" w:type="dxa"/>
              <w:right w:w="25" w:type="dxa"/>
            </w:tcMar>
            <w:vAlign w:val="center"/>
          </w:tcPr>
          <w:p w14:paraId="422732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48.3</w:t>
            </w:r>
          </w:p>
        </w:tc>
        <w:tc>
          <w:tcPr>
            <w:tcW w:w="677" w:type="dxa"/>
            <w:tcMar>
              <w:top w:w="55" w:type="dxa"/>
              <w:left w:w="25" w:type="dxa"/>
              <w:bottom w:w="55" w:type="dxa"/>
              <w:right w:w="25" w:type="dxa"/>
            </w:tcMar>
            <w:vAlign w:val="center"/>
          </w:tcPr>
          <w:p w14:paraId="3C285E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47.3</w:t>
            </w:r>
          </w:p>
        </w:tc>
      </w:tr>
      <w:tr w14:paraId="19969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B7C8449">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VADS</w:t>
            </w:r>
          </w:p>
        </w:tc>
        <w:tc>
          <w:tcPr>
            <w:tcW w:w="833" w:type="dxa"/>
            <w:tcMar>
              <w:top w:w="55" w:type="dxa"/>
              <w:left w:w="25" w:type="dxa"/>
              <w:bottom w:w="55" w:type="dxa"/>
              <w:right w:w="25" w:type="dxa"/>
            </w:tcMar>
            <w:vAlign w:val="center"/>
          </w:tcPr>
          <w:p w14:paraId="076151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3C013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82.5</w:t>
            </w:r>
          </w:p>
        </w:tc>
        <w:tc>
          <w:tcPr>
            <w:tcW w:w="677" w:type="dxa"/>
            <w:tcMar>
              <w:top w:w="55" w:type="dxa"/>
              <w:left w:w="25" w:type="dxa"/>
              <w:bottom w:w="55" w:type="dxa"/>
              <w:right w:w="25" w:type="dxa"/>
            </w:tcMar>
            <w:vAlign w:val="center"/>
          </w:tcPr>
          <w:p w14:paraId="0716B3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86.8</w:t>
            </w:r>
          </w:p>
        </w:tc>
        <w:tc>
          <w:tcPr>
            <w:tcW w:w="677" w:type="dxa"/>
            <w:tcMar>
              <w:top w:w="55" w:type="dxa"/>
              <w:left w:w="25" w:type="dxa"/>
              <w:bottom w:w="55" w:type="dxa"/>
              <w:right w:w="25" w:type="dxa"/>
            </w:tcMar>
            <w:vAlign w:val="center"/>
          </w:tcPr>
          <w:p w14:paraId="6424FA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16D9CAE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63C13EC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83.6</w:t>
            </w:r>
          </w:p>
        </w:tc>
        <w:tc>
          <w:tcPr>
            <w:tcW w:w="677" w:type="dxa"/>
            <w:tcMar>
              <w:top w:w="55" w:type="dxa"/>
              <w:left w:w="25" w:type="dxa"/>
              <w:bottom w:w="55" w:type="dxa"/>
              <w:right w:w="25" w:type="dxa"/>
            </w:tcMar>
            <w:vAlign w:val="center"/>
          </w:tcPr>
          <w:p w14:paraId="470BF1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79.3</w:t>
            </w:r>
          </w:p>
        </w:tc>
        <w:tc>
          <w:tcPr>
            <w:tcW w:w="677" w:type="dxa"/>
            <w:tcMar>
              <w:top w:w="55" w:type="dxa"/>
              <w:left w:w="25" w:type="dxa"/>
              <w:bottom w:w="55" w:type="dxa"/>
              <w:right w:w="25" w:type="dxa"/>
            </w:tcMar>
            <w:vAlign w:val="center"/>
          </w:tcPr>
          <w:p w14:paraId="47D8E7E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74.1</w:t>
            </w:r>
          </w:p>
        </w:tc>
        <w:tc>
          <w:tcPr>
            <w:tcW w:w="677" w:type="dxa"/>
            <w:tcMar>
              <w:top w:w="55" w:type="dxa"/>
              <w:left w:w="25" w:type="dxa"/>
              <w:bottom w:w="55" w:type="dxa"/>
              <w:right w:w="25" w:type="dxa"/>
            </w:tcMar>
            <w:vAlign w:val="center"/>
          </w:tcPr>
          <w:p w14:paraId="52CA140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060285D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74.3</w:t>
            </w:r>
          </w:p>
        </w:tc>
        <w:tc>
          <w:tcPr>
            <w:tcW w:w="677" w:type="dxa"/>
            <w:tcMar>
              <w:top w:w="55" w:type="dxa"/>
              <w:left w:w="25" w:type="dxa"/>
              <w:bottom w:w="55" w:type="dxa"/>
              <w:right w:w="25" w:type="dxa"/>
            </w:tcMar>
            <w:vAlign w:val="center"/>
          </w:tcPr>
          <w:p w14:paraId="6B19695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64.6</w:t>
            </w:r>
          </w:p>
        </w:tc>
        <w:tc>
          <w:tcPr>
            <w:tcW w:w="677" w:type="dxa"/>
            <w:tcMar>
              <w:top w:w="55" w:type="dxa"/>
              <w:left w:w="25" w:type="dxa"/>
              <w:bottom w:w="55" w:type="dxa"/>
              <w:right w:w="25" w:type="dxa"/>
            </w:tcMar>
            <w:vAlign w:val="center"/>
          </w:tcPr>
          <w:p w14:paraId="22B6583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49.0</w:t>
            </w:r>
          </w:p>
        </w:tc>
        <w:tc>
          <w:tcPr>
            <w:tcW w:w="677" w:type="dxa"/>
            <w:tcMar>
              <w:top w:w="55" w:type="dxa"/>
              <w:left w:w="25" w:type="dxa"/>
              <w:bottom w:w="55" w:type="dxa"/>
              <w:right w:w="25" w:type="dxa"/>
            </w:tcMar>
            <w:vAlign w:val="center"/>
          </w:tcPr>
          <w:p w14:paraId="4D5BB42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r>
      <w:tr w14:paraId="63012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1CFE04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762D7B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25TPAMI</w:t>
            </w:r>
          </w:p>
        </w:tc>
        <w:tc>
          <w:tcPr>
            <w:tcW w:w="677" w:type="dxa"/>
            <w:tcMar>
              <w:top w:w="55" w:type="dxa"/>
              <w:left w:w="25" w:type="dxa"/>
              <w:bottom w:w="55" w:type="dxa"/>
              <w:right w:w="25" w:type="dxa"/>
            </w:tcMar>
            <w:vAlign w:val="center"/>
          </w:tcPr>
          <w:p w14:paraId="58C2C5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79.2</w:t>
            </w:r>
          </w:p>
        </w:tc>
        <w:tc>
          <w:tcPr>
            <w:tcW w:w="677" w:type="dxa"/>
            <w:tcMar>
              <w:top w:w="55" w:type="dxa"/>
              <w:left w:w="25" w:type="dxa"/>
              <w:bottom w:w="55" w:type="dxa"/>
              <w:right w:w="25" w:type="dxa"/>
            </w:tcMar>
            <w:vAlign w:val="center"/>
          </w:tcPr>
          <w:p w14:paraId="190819D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78.8</w:t>
            </w:r>
          </w:p>
        </w:tc>
        <w:tc>
          <w:tcPr>
            <w:tcW w:w="677" w:type="dxa"/>
            <w:tcMar>
              <w:top w:w="55" w:type="dxa"/>
              <w:left w:w="25" w:type="dxa"/>
              <w:bottom w:w="55" w:type="dxa"/>
              <w:right w:w="25" w:type="dxa"/>
            </w:tcMar>
            <w:vAlign w:val="center"/>
          </w:tcPr>
          <w:p w14:paraId="3500E48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42D579D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BA069A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86.4</w:t>
            </w:r>
          </w:p>
        </w:tc>
        <w:tc>
          <w:tcPr>
            <w:tcW w:w="677" w:type="dxa"/>
            <w:tcMar>
              <w:top w:w="55" w:type="dxa"/>
              <w:left w:w="25" w:type="dxa"/>
              <w:bottom w:w="55" w:type="dxa"/>
              <w:right w:w="25" w:type="dxa"/>
            </w:tcMar>
            <w:vAlign w:val="center"/>
          </w:tcPr>
          <w:p w14:paraId="2EAA737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79.8</w:t>
            </w:r>
          </w:p>
        </w:tc>
        <w:tc>
          <w:tcPr>
            <w:tcW w:w="677" w:type="dxa"/>
            <w:tcMar>
              <w:top w:w="55" w:type="dxa"/>
              <w:left w:w="25" w:type="dxa"/>
              <w:bottom w:w="55" w:type="dxa"/>
              <w:right w:w="25" w:type="dxa"/>
            </w:tcMar>
            <w:vAlign w:val="center"/>
          </w:tcPr>
          <w:p w14:paraId="683608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71.8</w:t>
            </w:r>
          </w:p>
        </w:tc>
        <w:tc>
          <w:tcPr>
            <w:tcW w:w="677" w:type="dxa"/>
            <w:tcMar>
              <w:top w:w="55" w:type="dxa"/>
              <w:left w:w="25" w:type="dxa"/>
              <w:bottom w:w="55" w:type="dxa"/>
              <w:right w:w="25" w:type="dxa"/>
            </w:tcMar>
            <w:vAlign w:val="center"/>
          </w:tcPr>
          <w:p w14:paraId="6C6DC0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35F703D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2CF8AC4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61.5</w:t>
            </w:r>
          </w:p>
        </w:tc>
        <w:tc>
          <w:tcPr>
            <w:tcW w:w="677" w:type="dxa"/>
            <w:tcMar>
              <w:top w:w="55" w:type="dxa"/>
              <w:left w:w="25" w:type="dxa"/>
              <w:bottom w:w="55" w:type="dxa"/>
              <w:right w:w="25" w:type="dxa"/>
            </w:tcMar>
            <w:vAlign w:val="center"/>
          </w:tcPr>
          <w:p w14:paraId="7061ABF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49.4</w:t>
            </w:r>
          </w:p>
        </w:tc>
        <w:tc>
          <w:tcPr>
            <w:tcW w:w="677" w:type="dxa"/>
            <w:tcMar>
              <w:top w:w="55" w:type="dxa"/>
              <w:left w:w="25" w:type="dxa"/>
              <w:bottom w:w="55" w:type="dxa"/>
              <w:right w:w="25" w:type="dxa"/>
            </w:tcMar>
            <w:vAlign w:val="center"/>
          </w:tcPr>
          <w:p w14:paraId="735760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54.8</w:t>
            </w:r>
          </w:p>
        </w:tc>
      </w:tr>
      <w:tr w14:paraId="1940D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3317F3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GenZSL</w:t>
            </w:r>
          </w:p>
        </w:tc>
        <w:tc>
          <w:tcPr>
            <w:tcW w:w="833" w:type="dxa"/>
            <w:tcMar>
              <w:top w:w="55" w:type="dxa"/>
              <w:left w:w="25" w:type="dxa"/>
              <w:bottom w:w="55" w:type="dxa"/>
              <w:right w:w="25" w:type="dxa"/>
            </w:tcMar>
            <w:vAlign w:val="center"/>
          </w:tcPr>
          <w:p w14:paraId="1FAF6B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25ICML</w:t>
            </w:r>
          </w:p>
        </w:tc>
        <w:tc>
          <w:tcPr>
            <w:tcW w:w="677" w:type="dxa"/>
            <w:tcMar>
              <w:top w:w="55" w:type="dxa"/>
              <w:left w:w="25" w:type="dxa"/>
              <w:bottom w:w="55" w:type="dxa"/>
              <w:right w:w="25" w:type="dxa"/>
            </w:tcMar>
            <w:vAlign w:val="center"/>
          </w:tcPr>
          <w:p w14:paraId="6B8D9A6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92.2</w:t>
            </w:r>
          </w:p>
        </w:tc>
        <w:tc>
          <w:tcPr>
            <w:tcW w:w="677" w:type="dxa"/>
            <w:tcMar>
              <w:top w:w="55" w:type="dxa"/>
              <w:left w:w="25" w:type="dxa"/>
              <w:bottom w:w="55" w:type="dxa"/>
              <w:right w:w="25" w:type="dxa"/>
            </w:tcMar>
            <w:vAlign w:val="center"/>
          </w:tcPr>
          <w:p w14:paraId="4BC99F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2F590B2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73.5</w:t>
            </w:r>
          </w:p>
        </w:tc>
        <w:tc>
          <w:tcPr>
            <w:tcW w:w="677" w:type="dxa"/>
            <w:tcMar>
              <w:top w:w="55" w:type="dxa"/>
              <w:left w:w="25" w:type="dxa"/>
              <w:bottom w:w="55" w:type="dxa"/>
              <w:right w:w="25" w:type="dxa"/>
            </w:tcMar>
            <w:vAlign w:val="center"/>
          </w:tcPr>
          <w:p w14:paraId="496934A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86.1</w:t>
            </w:r>
          </w:p>
        </w:tc>
        <w:tc>
          <w:tcPr>
            <w:tcW w:w="677" w:type="dxa"/>
            <w:tcMar>
              <w:top w:w="55" w:type="dxa"/>
              <w:left w:w="25" w:type="dxa"/>
              <w:bottom w:w="55" w:type="dxa"/>
              <w:right w:w="25" w:type="dxa"/>
            </w:tcMar>
            <w:vAlign w:val="center"/>
          </w:tcPr>
          <w:p w14:paraId="082462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88.7</w:t>
            </w:r>
          </w:p>
        </w:tc>
        <w:tc>
          <w:tcPr>
            <w:tcW w:w="677" w:type="dxa"/>
            <w:tcMar>
              <w:top w:w="55" w:type="dxa"/>
              <w:left w:w="25" w:type="dxa"/>
              <w:bottom w:w="55" w:type="dxa"/>
              <w:right w:w="25" w:type="dxa"/>
            </w:tcMar>
            <w:vAlign w:val="center"/>
          </w:tcPr>
          <w:p w14:paraId="2260C9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87.4</w:t>
            </w:r>
          </w:p>
        </w:tc>
        <w:tc>
          <w:tcPr>
            <w:tcW w:w="677" w:type="dxa"/>
            <w:tcMar>
              <w:top w:w="55" w:type="dxa"/>
              <w:left w:w="25" w:type="dxa"/>
              <w:bottom w:w="55" w:type="dxa"/>
              <w:right w:w="25" w:type="dxa"/>
            </w:tcMar>
            <w:vAlign w:val="center"/>
          </w:tcPr>
          <w:p w14:paraId="42B62EC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53.5</w:t>
            </w:r>
          </w:p>
        </w:tc>
        <w:tc>
          <w:tcPr>
            <w:tcW w:w="677" w:type="dxa"/>
            <w:tcMar>
              <w:top w:w="55" w:type="dxa"/>
              <w:left w:w="25" w:type="dxa"/>
              <w:bottom w:w="55" w:type="dxa"/>
              <w:right w:w="25" w:type="dxa"/>
            </w:tcMar>
            <w:vAlign w:val="center"/>
          </w:tcPr>
          <w:p w14:paraId="1342B24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61.9</w:t>
            </w:r>
          </w:p>
        </w:tc>
        <w:tc>
          <w:tcPr>
            <w:tcW w:w="677" w:type="dxa"/>
            <w:tcMar>
              <w:top w:w="55" w:type="dxa"/>
              <w:left w:w="25" w:type="dxa"/>
              <w:bottom w:w="55" w:type="dxa"/>
              <w:right w:w="25" w:type="dxa"/>
            </w:tcMar>
            <w:vAlign w:val="center"/>
          </w:tcPr>
          <w:p w14:paraId="7F06F0C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c>
          <w:tcPr>
            <w:tcW w:w="677" w:type="dxa"/>
            <w:tcMar>
              <w:top w:w="55" w:type="dxa"/>
              <w:left w:w="25" w:type="dxa"/>
              <w:bottom w:w="55" w:type="dxa"/>
              <w:right w:w="25" w:type="dxa"/>
            </w:tcMar>
            <w:vAlign w:val="center"/>
          </w:tcPr>
          <w:p w14:paraId="1D6D603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50.6</w:t>
            </w:r>
          </w:p>
        </w:tc>
        <w:tc>
          <w:tcPr>
            <w:tcW w:w="677" w:type="dxa"/>
            <w:tcMar>
              <w:top w:w="55" w:type="dxa"/>
              <w:left w:w="25" w:type="dxa"/>
              <w:bottom w:w="55" w:type="dxa"/>
              <w:right w:w="25" w:type="dxa"/>
            </w:tcMar>
            <w:vAlign w:val="center"/>
          </w:tcPr>
          <w:p w14:paraId="26891C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43.8</w:t>
            </w:r>
          </w:p>
        </w:tc>
        <w:tc>
          <w:tcPr>
            <w:tcW w:w="677" w:type="dxa"/>
            <w:tcMar>
              <w:top w:w="55" w:type="dxa"/>
              <w:left w:w="25" w:type="dxa"/>
              <w:bottom w:w="55" w:type="dxa"/>
              <w:right w:w="25" w:type="dxa"/>
            </w:tcMar>
            <w:vAlign w:val="center"/>
          </w:tcPr>
          <w:p w14:paraId="005C1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47.0</w:t>
            </w:r>
          </w:p>
        </w:tc>
      </w:tr>
      <w:tr w14:paraId="5C35B8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4DE526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AENet</w:t>
            </w:r>
          </w:p>
        </w:tc>
        <w:tc>
          <w:tcPr>
            <w:tcW w:w="833" w:type="dxa"/>
            <w:tcMar>
              <w:top w:w="55" w:type="dxa"/>
              <w:left w:w="25" w:type="dxa"/>
              <w:bottom w:w="55" w:type="dxa"/>
              <w:right w:w="25" w:type="dxa"/>
            </w:tcMar>
            <w:vAlign w:val="center"/>
          </w:tcPr>
          <w:p w14:paraId="2B2159B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25AAAI</w:t>
            </w:r>
          </w:p>
        </w:tc>
        <w:tc>
          <w:tcPr>
            <w:tcW w:w="677" w:type="dxa"/>
            <w:tcMar>
              <w:top w:w="55" w:type="dxa"/>
              <w:left w:w="25" w:type="dxa"/>
              <w:bottom w:w="55" w:type="dxa"/>
              <w:right w:w="25" w:type="dxa"/>
            </w:tcMar>
            <w:vAlign w:val="center"/>
          </w:tcPr>
          <w:p w14:paraId="1FF10E9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75.2</w:t>
            </w:r>
          </w:p>
        </w:tc>
        <w:tc>
          <w:tcPr>
            <w:tcW w:w="677" w:type="dxa"/>
            <w:tcMar>
              <w:top w:w="55" w:type="dxa"/>
              <w:left w:w="25" w:type="dxa"/>
              <w:bottom w:w="55" w:type="dxa"/>
              <w:right w:w="25" w:type="dxa"/>
            </w:tcMar>
            <w:vAlign w:val="center"/>
          </w:tcPr>
          <w:p w14:paraId="427493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80.3</w:t>
            </w:r>
          </w:p>
        </w:tc>
        <w:tc>
          <w:tcPr>
            <w:tcW w:w="677" w:type="dxa"/>
            <w:tcMar>
              <w:top w:w="55" w:type="dxa"/>
              <w:left w:w="25" w:type="dxa"/>
              <w:bottom w:w="55" w:type="dxa"/>
              <w:right w:w="25" w:type="dxa"/>
            </w:tcMar>
            <w:vAlign w:val="center"/>
          </w:tcPr>
          <w:p w14:paraId="1EB4654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668F17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70.3</w:t>
            </w:r>
          </w:p>
        </w:tc>
        <w:tc>
          <w:tcPr>
            <w:tcW w:w="677" w:type="dxa"/>
            <w:tcMar>
              <w:top w:w="55" w:type="dxa"/>
              <w:left w:w="25" w:type="dxa"/>
              <w:bottom w:w="55" w:type="dxa"/>
              <w:right w:w="25" w:type="dxa"/>
            </w:tcMar>
            <w:vAlign w:val="center"/>
          </w:tcPr>
          <w:p w14:paraId="2921011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3305E0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74.9</w:t>
            </w:r>
          </w:p>
        </w:tc>
        <w:tc>
          <w:tcPr>
            <w:tcW w:w="677" w:type="dxa"/>
            <w:tcMar>
              <w:top w:w="55" w:type="dxa"/>
              <w:left w:w="25" w:type="dxa"/>
              <w:bottom w:w="55" w:type="dxa"/>
              <w:right w:w="25" w:type="dxa"/>
            </w:tcMar>
            <w:vAlign w:val="center"/>
          </w:tcPr>
          <w:p w14:paraId="0A8FD4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1BD39BB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42CC054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74.7</w:t>
            </w:r>
          </w:p>
        </w:tc>
        <w:tc>
          <w:tcPr>
            <w:tcW w:w="677" w:type="dxa"/>
            <w:tcMar>
              <w:top w:w="55" w:type="dxa"/>
              <w:left w:w="25" w:type="dxa"/>
              <w:bottom w:w="55" w:type="dxa"/>
              <w:right w:w="25" w:type="dxa"/>
            </w:tcMar>
            <w:vAlign w:val="center"/>
          </w:tcPr>
          <w:p w14:paraId="35974C7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58.6</w:t>
            </w:r>
          </w:p>
        </w:tc>
        <w:tc>
          <w:tcPr>
            <w:tcW w:w="677" w:type="dxa"/>
            <w:tcMar>
              <w:top w:w="55" w:type="dxa"/>
              <w:left w:w="25" w:type="dxa"/>
              <w:bottom w:w="55" w:type="dxa"/>
              <w:right w:w="25" w:type="dxa"/>
            </w:tcMar>
            <w:vAlign w:val="center"/>
          </w:tcPr>
          <w:p w14:paraId="6C04B7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45.2</w:t>
            </w:r>
          </w:p>
        </w:tc>
        <w:tc>
          <w:tcPr>
            <w:tcW w:w="677" w:type="dxa"/>
            <w:tcMar>
              <w:top w:w="55" w:type="dxa"/>
              <w:left w:w="25" w:type="dxa"/>
              <w:bottom w:w="55" w:type="dxa"/>
              <w:right w:w="25" w:type="dxa"/>
            </w:tcMar>
            <w:vAlign w:val="center"/>
          </w:tcPr>
          <w:p w14:paraId="5658F8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51.0</w:t>
            </w:r>
          </w:p>
        </w:tc>
      </w:tr>
      <w:tr w14:paraId="2604FC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66DC3B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SAGE</w:t>
            </w:r>
          </w:p>
        </w:tc>
        <w:tc>
          <w:tcPr>
            <w:tcW w:w="833" w:type="dxa"/>
            <w:tcMar>
              <w:top w:w="55" w:type="dxa"/>
              <w:left w:w="25" w:type="dxa"/>
              <w:bottom w:w="55" w:type="dxa"/>
              <w:right w:w="25" w:type="dxa"/>
            </w:tcMar>
            <w:vAlign w:val="center"/>
          </w:tcPr>
          <w:p w14:paraId="6293BC7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26AAAI</w:t>
            </w:r>
          </w:p>
        </w:tc>
        <w:tc>
          <w:tcPr>
            <w:tcW w:w="677" w:type="dxa"/>
            <w:tcMar>
              <w:top w:w="55" w:type="dxa"/>
              <w:left w:w="25" w:type="dxa"/>
              <w:bottom w:w="55" w:type="dxa"/>
              <w:right w:w="25" w:type="dxa"/>
            </w:tcMar>
            <w:vAlign w:val="center"/>
          </w:tcPr>
          <w:p w14:paraId="3AB3CF4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83.7</w:t>
            </w:r>
          </w:p>
        </w:tc>
        <w:tc>
          <w:tcPr>
            <w:tcW w:w="677" w:type="dxa"/>
            <w:tcMar>
              <w:top w:w="55" w:type="dxa"/>
              <w:left w:w="25" w:type="dxa"/>
              <w:bottom w:w="55" w:type="dxa"/>
              <w:right w:w="25" w:type="dxa"/>
            </w:tcMar>
            <w:vAlign w:val="center"/>
          </w:tcPr>
          <w:p w14:paraId="34D87FC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82.1</w:t>
            </w:r>
          </w:p>
        </w:tc>
        <w:tc>
          <w:tcPr>
            <w:tcW w:w="677" w:type="dxa"/>
            <w:tcMar>
              <w:top w:w="55" w:type="dxa"/>
              <w:left w:w="25" w:type="dxa"/>
              <w:bottom w:w="55" w:type="dxa"/>
              <w:right w:w="25" w:type="dxa"/>
            </w:tcMar>
            <w:vAlign w:val="center"/>
          </w:tcPr>
          <w:p w14:paraId="0440EB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77.2</w:t>
            </w:r>
          </w:p>
        </w:tc>
        <w:tc>
          <w:tcPr>
            <w:tcW w:w="677" w:type="dxa"/>
            <w:tcMar>
              <w:top w:w="55" w:type="dxa"/>
              <w:left w:w="25" w:type="dxa"/>
              <w:bottom w:w="55" w:type="dxa"/>
              <w:right w:w="25" w:type="dxa"/>
            </w:tcMar>
            <w:vAlign w:val="center"/>
          </w:tcPr>
          <w:p w14:paraId="2CE6F2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78.1</w:t>
            </w:r>
          </w:p>
        </w:tc>
        <w:tc>
          <w:tcPr>
            <w:tcW w:w="677" w:type="dxa"/>
            <w:tcMar>
              <w:top w:w="55" w:type="dxa"/>
              <w:left w:w="25" w:type="dxa"/>
              <w:bottom w:w="55" w:type="dxa"/>
              <w:right w:w="25" w:type="dxa"/>
            </w:tcMar>
            <w:vAlign w:val="center"/>
          </w:tcPr>
          <w:p w14:paraId="08100E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87.2</w:t>
            </w:r>
          </w:p>
        </w:tc>
        <w:tc>
          <w:tcPr>
            <w:tcW w:w="677" w:type="dxa"/>
            <w:tcMar>
              <w:top w:w="55" w:type="dxa"/>
              <w:left w:w="25" w:type="dxa"/>
              <w:bottom w:w="55" w:type="dxa"/>
              <w:right w:w="25" w:type="dxa"/>
            </w:tcMar>
            <w:vAlign w:val="center"/>
          </w:tcPr>
          <w:p w14:paraId="6BE3388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096037B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75.1</w:t>
            </w:r>
          </w:p>
        </w:tc>
        <w:tc>
          <w:tcPr>
            <w:tcW w:w="677" w:type="dxa"/>
            <w:tcMar>
              <w:top w:w="55" w:type="dxa"/>
              <w:left w:w="25" w:type="dxa"/>
              <w:bottom w:w="55" w:type="dxa"/>
              <w:right w:w="25" w:type="dxa"/>
            </w:tcMar>
            <w:vAlign w:val="center"/>
          </w:tcPr>
          <w:p w14:paraId="03B20A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750FA21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758FDF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63.7</w:t>
            </w:r>
          </w:p>
        </w:tc>
        <w:tc>
          <w:tcPr>
            <w:tcW w:w="677" w:type="dxa"/>
            <w:tcMar>
              <w:top w:w="55" w:type="dxa"/>
              <w:left w:w="25" w:type="dxa"/>
              <w:bottom w:w="55" w:type="dxa"/>
              <w:right w:w="25" w:type="dxa"/>
            </w:tcMar>
            <w:vAlign w:val="center"/>
          </w:tcPr>
          <w:p w14:paraId="18E6F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7C52A3B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r>
      <w:tr w14:paraId="493892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493EC7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RLVC</w:t>
            </w:r>
          </w:p>
        </w:tc>
        <w:tc>
          <w:tcPr>
            <w:tcW w:w="833" w:type="dxa"/>
            <w:tcMar>
              <w:top w:w="55" w:type="dxa"/>
              <w:left w:w="25" w:type="dxa"/>
              <w:bottom w:w="55" w:type="dxa"/>
              <w:right w:w="25" w:type="dxa"/>
            </w:tcMar>
            <w:vAlign w:val="center"/>
          </w:tcPr>
          <w:p w14:paraId="444B00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26CVPR</w:t>
            </w:r>
          </w:p>
        </w:tc>
        <w:tc>
          <w:tcPr>
            <w:tcW w:w="677" w:type="dxa"/>
            <w:tcMar>
              <w:top w:w="55" w:type="dxa"/>
              <w:left w:w="25" w:type="dxa"/>
              <w:bottom w:w="55" w:type="dxa"/>
              <w:right w:w="25" w:type="dxa"/>
            </w:tcMar>
            <w:vAlign w:val="center"/>
          </w:tcPr>
          <w:p w14:paraId="0357547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84.0</w:t>
            </w:r>
          </w:p>
        </w:tc>
        <w:tc>
          <w:tcPr>
            <w:tcW w:w="677" w:type="dxa"/>
            <w:tcMar>
              <w:top w:w="55" w:type="dxa"/>
              <w:left w:w="25" w:type="dxa"/>
              <w:bottom w:w="55" w:type="dxa"/>
              <w:right w:w="25" w:type="dxa"/>
            </w:tcMar>
            <w:vAlign w:val="center"/>
          </w:tcPr>
          <w:p w14:paraId="6E9254C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90.1</w:t>
            </w:r>
          </w:p>
        </w:tc>
        <w:tc>
          <w:tcPr>
            <w:tcW w:w="677" w:type="dxa"/>
            <w:tcMar>
              <w:top w:w="55" w:type="dxa"/>
              <w:left w:w="25" w:type="dxa"/>
              <w:bottom w:w="55" w:type="dxa"/>
              <w:right w:w="25" w:type="dxa"/>
            </w:tcMar>
            <w:vAlign w:val="center"/>
          </w:tcPr>
          <w:p w14:paraId="153371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77.7</w:t>
            </w:r>
          </w:p>
        </w:tc>
        <w:tc>
          <w:tcPr>
            <w:tcW w:w="677" w:type="dxa"/>
            <w:tcMar>
              <w:top w:w="55" w:type="dxa"/>
              <w:left w:w="25" w:type="dxa"/>
              <w:bottom w:w="55" w:type="dxa"/>
              <w:right w:w="25" w:type="dxa"/>
            </w:tcMar>
            <w:vAlign w:val="center"/>
          </w:tcPr>
          <w:p w14:paraId="2C705CE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78.4</w:t>
            </w:r>
          </w:p>
        </w:tc>
        <w:tc>
          <w:tcPr>
            <w:tcW w:w="677" w:type="dxa"/>
            <w:tcMar>
              <w:top w:w="55" w:type="dxa"/>
              <w:left w:w="25" w:type="dxa"/>
              <w:bottom w:w="55" w:type="dxa"/>
              <w:right w:w="25" w:type="dxa"/>
            </w:tcMar>
            <w:vAlign w:val="center"/>
          </w:tcPr>
          <w:p w14:paraId="5D64CF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4872F04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80.4</w:t>
            </w:r>
          </w:p>
        </w:tc>
        <w:tc>
          <w:tcPr>
            <w:tcW w:w="677" w:type="dxa"/>
            <w:tcMar>
              <w:top w:w="55" w:type="dxa"/>
              <w:left w:w="25" w:type="dxa"/>
              <w:bottom w:w="55" w:type="dxa"/>
              <w:right w:w="25" w:type="dxa"/>
            </w:tcMar>
            <w:vAlign w:val="center"/>
          </w:tcPr>
          <w:p w14:paraId="22C0E49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80.9</w:t>
            </w:r>
          </w:p>
        </w:tc>
        <w:tc>
          <w:tcPr>
            <w:tcW w:w="677" w:type="dxa"/>
            <w:tcMar>
              <w:top w:w="55" w:type="dxa"/>
              <w:left w:w="25" w:type="dxa"/>
              <w:bottom w:w="55" w:type="dxa"/>
              <w:right w:w="25" w:type="dxa"/>
            </w:tcMar>
            <w:vAlign w:val="center"/>
          </w:tcPr>
          <w:p w14:paraId="007497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81.4</w:t>
            </w:r>
          </w:p>
        </w:tc>
        <w:tc>
          <w:tcPr>
            <w:tcW w:w="677" w:type="dxa"/>
            <w:tcMar>
              <w:top w:w="55" w:type="dxa"/>
              <w:left w:w="25" w:type="dxa"/>
              <w:bottom w:w="55" w:type="dxa"/>
              <w:right w:w="25" w:type="dxa"/>
            </w:tcMar>
            <w:vAlign w:val="center"/>
          </w:tcPr>
          <w:p w14:paraId="5C9E9A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81.2</w:t>
            </w:r>
          </w:p>
        </w:tc>
        <w:tc>
          <w:tcPr>
            <w:tcW w:w="677" w:type="dxa"/>
            <w:tcMar>
              <w:top w:w="55" w:type="dxa"/>
              <w:left w:w="25" w:type="dxa"/>
              <w:bottom w:w="55" w:type="dxa"/>
              <w:right w:w="25" w:type="dxa"/>
            </w:tcMar>
            <w:vAlign w:val="center"/>
          </w:tcPr>
          <w:p w14:paraId="567A747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59.6</w:t>
            </w:r>
          </w:p>
        </w:tc>
        <w:tc>
          <w:tcPr>
            <w:tcW w:w="677" w:type="dxa"/>
            <w:tcMar>
              <w:top w:w="55" w:type="dxa"/>
              <w:left w:w="25" w:type="dxa"/>
              <w:bottom w:w="55" w:type="dxa"/>
              <w:right w:w="25" w:type="dxa"/>
            </w:tcMar>
            <w:vAlign w:val="center"/>
          </w:tcPr>
          <w:p w14:paraId="3E8DF45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55.6</w:t>
            </w:r>
          </w:p>
        </w:tc>
        <w:tc>
          <w:tcPr>
            <w:tcW w:w="677" w:type="dxa"/>
            <w:tcMar>
              <w:top w:w="55" w:type="dxa"/>
              <w:left w:w="25" w:type="dxa"/>
              <w:bottom w:w="55" w:type="dxa"/>
              <w:right w:w="25" w:type="dxa"/>
            </w:tcMar>
            <w:vAlign w:val="center"/>
          </w:tcPr>
          <w:p w14:paraId="5C4B34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57.6</w:t>
            </w:r>
          </w:p>
        </w:tc>
      </w:tr>
      <w:tr w14:paraId="7C6C72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2392CD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ZeroDiff</w:t>
            </w:r>
          </w:p>
        </w:tc>
        <w:tc>
          <w:tcPr>
            <w:tcW w:w="833" w:type="dxa"/>
            <w:tcMar>
              <w:top w:w="55" w:type="dxa"/>
              <w:left w:w="25" w:type="dxa"/>
              <w:bottom w:w="55" w:type="dxa"/>
              <w:right w:w="25" w:type="dxa"/>
            </w:tcMar>
            <w:vAlign w:val="center"/>
          </w:tcPr>
          <w:p w14:paraId="5F8D2B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25ICLR</w:t>
            </w:r>
          </w:p>
        </w:tc>
        <w:tc>
          <w:tcPr>
            <w:tcW w:w="677" w:type="dxa"/>
            <w:tcMar>
              <w:top w:w="55" w:type="dxa"/>
              <w:left w:w="25" w:type="dxa"/>
              <w:bottom w:w="55" w:type="dxa"/>
              <w:right w:w="25" w:type="dxa"/>
            </w:tcMar>
            <w:vAlign w:val="center"/>
          </w:tcPr>
          <w:p w14:paraId="6971B77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81.5</w:t>
            </w:r>
          </w:p>
        </w:tc>
        <w:tc>
          <w:tcPr>
            <w:tcW w:w="677" w:type="dxa"/>
            <w:tcMar>
              <w:top w:w="55" w:type="dxa"/>
              <w:left w:w="25" w:type="dxa"/>
              <w:bottom w:w="55" w:type="dxa"/>
              <w:right w:w="25" w:type="dxa"/>
            </w:tcMar>
            <w:vAlign w:val="center"/>
          </w:tcPr>
          <w:p w14:paraId="50021B6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87.5</w:t>
            </w:r>
          </w:p>
        </w:tc>
        <w:tc>
          <w:tcPr>
            <w:tcW w:w="677" w:type="dxa"/>
            <w:tcMar>
              <w:top w:w="55" w:type="dxa"/>
              <w:left w:w="25" w:type="dxa"/>
              <w:bottom w:w="55" w:type="dxa"/>
              <w:right w:w="25" w:type="dxa"/>
            </w:tcMar>
            <w:vAlign w:val="center"/>
          </w:tcPr>
          <w:p w14:paraId="5BC140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1071DA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73.3</w:t>
            </w:r>
          </w:p>
        </w:tc>
        <w:tc>
          <w:tcPr>
            <w:tcW w:w="677" w:type="dxa"/>
            <w:tcMar>
              <w:top w:w="55" w:type="dxa"/>
              <w:left w:w="25" w:type="dxa"/>
              <w:bottom w:w="55" w:type="dxa"/>
              <w:right w:w="25" w:type="dxa"/>
            </w:tcMar>
            <w:vAlign w:val="center"/>
          </w:tcPr>
          <w:p w14:paraId="69ABAB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88.1</w:t>
            </w:r>
          </w:p>
        </w:tc>
        <w:tc>
          <w:tcPr>
            <w:tcW w:w="677" w:type="dxa"/>
            <w:tcMar>
              <w:top w:w="55" w:type="dxa"/>
              <w:left w:w="25" w:type="dxa"/>
              <w:bottom w:w="55" w:type="dxa"/>
              <w:right w:w="25" w:type="dxa"/>
            </w:tcMar>
            <w:vAlign w:val="center"/>
          </w:tcPr>
          <w:p w14:paraId="5E407CA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0D81B38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80.0</w:t>
            </w:r>
          </w:p>
        </w:tc>
        <w:tc>
          <w:tcPr>
            <w:tcW w:w="677" w:type="dxa"/>
            <w:tcMar>
              <w:top w:w="55" w:type="dxa"/>
              <w:left w:w="25" w:type="dxa"/>
              <w:bottom w:w="55" w:type="dxa"/>
              <w:right w:w="25" w:type="dxa"/>
            </w:tcMar>
            <w:vAlign w:val="center"/>
          </w:tcPr>
          <w:p w14:paraId="5CAE70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83.2</w:t>
            </w:r>
          </w:p>
        </w:tc>
        <w:tc>
          <w:tcPr>
            <w:tcW w:w="677" w:type="dxa"/>
            <w:tcMar>
              <w:top w:w="55" w:type="dxa"/>
              <w:left w:w="25" w:type="dxa"/>
              <w:bottom w:w="55" w:type="dxa"/>
              <w:right w:w="25" w:type="dxa"/>
            </w:tcMar>
            <w:vAlign w:val="center"/>
          </w:tcPr>
          <w:p w14:paraId="70DB45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81.6</w:t>
            </w:r>
          </w:p>
        </w:tc>
        <w:tc>
          <w:tcPr>
            <w:tcW w:w="677" w:type="dxa"/>
            <w:tcMar>
              <w:top w:w="55" w:type="dxa"/>
              <w:left w:w="25" w:type="dxa"/>
              <w:bottom w:w="55" w:type="dxa"/>
              <w:right w:w="25" w:type="dxa"/>
            </w:tcMar>
            <w:vAlign w:val="center"/>
          </w:tcPr>
          <w:p w14:paraId="37A8BCF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58.5</w:t>
            </w:r>
          </w:p>
        </w:tc>
        <w:tc>
          <w:tcPr>
            <w:tcW w:w="677" w:type="dxa"/>
            <w:tcMar>
              <w:top w:w="55" w:type="dxa"/>
              <w:left w:w="25" w:type="dxa"/>
              <w:bottom w:w="55" w:type="dxa"/>
              <w:right w:w="25" w:type="dxa"/>
            </w:tcMar>
            <w:vAlign w:val="center"/>
          </w:tcPr>
          <w:p w14:paraId="64C0A05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58.8</w:t>
            </w:r>
          </w:p>
        </w:tc>
        <w:tc>
          <w:tcPr>
            <w:tcW w:w="677" w:type="dxa"/>
            <w:tcMar>
              <w:top w:w="55" w:type="dxa"/>
              <w:left w:w="25" w:type="dxa"/>
              <w:bottom w:w="55" w:type="dxa"/>
              <w:right w:w="25" w:type="dxa"/>
            </w:tcMar>
            <w:vAlign w:val="center"/>
          </w:tcPr>
          <w:p w14:paraId="74ACED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58.7</w:t>
            </w:r>
          </w:p>
        </w:tc>
      </w:tr>
      <w:tr w14:paraId="5461C2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E543120">
            <w:pPr>
              <w:widowControl/>
              <w:spacing w:before="0" w:after="0" w:line="240" w:lineRule="auto"/>
              <w:ind w:firstLine="0" w:firstLineChars="0"/>
              <w:jc w:val="left"/>
              <w:rPr>
                <w:rFonts w:hint="default" w:ascii="Cambria" w:hAnsi="Cambria" w:eastAsia="宋体" w:cs="Times New Roman"/>
                <w:kern w:val="0"/>
                <w:sz w:val="22"/>
                <w:lang w:val="en-US" w:eastAsia="zh-CN"/>
              </w:rPr>
            </w:pPr>
            <w:r>
              <w:rPr>
                <w:rFonts w:hint="eastAsia" w:cs="Times New Roman"/>
                <w:b/>
                <w:kern w:val="0"/>
                <w:sz w:val="16"/>
                <w:lang w:val="en-US" w:eastAsia="zh-CN"/>
              </w:rPr>
              <w:t>Ds-reg</w:t>
            </w:r>
          </w:p>
        </w:tc>
        <w:tc>
          <w:tcPr>
            <w:tcW w:w="833" w:type="dxa"/>
            <w:tcMar>
              <w:top w:w="55" w:type="dxa"/>
              <w:left w:w="25" w:type="dxa"/>
              <w:bottom w:w="55" w:type="dxa"/>
              <w:right w:w="25" w:type="dxa"/>
            </w:tcMar>
            <w:vAlign w:val="center"/>
          </w:tcPr>
          <w:p w14:paraId="6322F78B">
            <w:pPr>
              <w:widowControl/>
              <w:spacing w:before="0" w:after="0" w:line="240" w:lineRule="auto"/>
              <w:ind w:firstLine="0" w:firstLineChars="0"/>
              <w:jc w:val="center"/>
              <w:rPr>
                <w:rFonts w:hint="default" w:ascii="Cambria" w:hAnsi="Cambria" w:eastAsia="宋体" w:cs="Times New Roman"/>
                <w:kern w:val="0"/>
                <w:sz w:val="22"/>
                <w:lang w:val="en-US" w:eastAsia="zh-CN"/>
              </w:rPr>
            </w:pPr>
            <w:r>
              <w:rPr>
                <w:rFonts w:ascii="Times New Roman" w:hAnsi="Times New Roman" w:eastAsia="Times New Roman" w:cs="Times New Roman"/>
                <w:b/>
                <w:kern w:val="0"/>
                <w:sz w:val="16"/>
                <w:lang w:eastAsia="en-US"/>
              </w:rPr>
              <w:t>Ours</w:t>
            </w:r>
          </w:p>
        </w:tc>
        <w:tc>
          <w:tcPr>
            <w:tcW w:w="677" w:type="dxa"/>
            <w:tcMar>
              <w:top w:w="55" w:type="dxa"/>
              <w:left w:w="25" w:type="dxa"/>
              <w:bottom w:w="55" w:type="dxa"/>
              <w:right w:w="25" w:type="dxa"/>
            </w:tcMar>
            <w:vAlign w:val="center"/>
          </w:tcPr>
          <w:p w14:paraId="6E3CC4F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86.4</w:t>
            </w:r>
          </w:p>
        </w:tc>
        <w:tc>
          <w:tcPr>
            <w:tcW w:w="677" w:type="dxa"/>
            <w:tcMar>
              <w:top w:w="55" w:type="dxa"/>
              <w:left w:w="25" w:type="dxa"/>
              <w:bottom w:w="55" w:type="dxa"/>
              <w:right w:w="25" w:type="dxa"/>
            </w:tcMar>
            <w:vAlign w:val="center"/>
          </w:tcPr>
          <w:p w14:paraId="547DED7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88.2</w:t>
            </w:r>
          </w:p>
        </w:tc>
        <w:tc>
          <w:tcPr>
            <w:tcW w:w="677" w:type="dxa"/>
            <w:tcMar>
              <w:top w:w="55" w:type="dxa"/>
              <w:left w:w="25" w:type="dxa"/>
              <w:bottom w:w="55" w:type="dxa"/>
              <w:right w:w="25" w:type="dxa"/>
            </w:tcMar>
            <w:vAlign w:val="center"/>
          </w:tcPr>
          <w:p w14:paraId="42DC58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77.8</w:t>
            </w:r>
          </w:p>
        </w:tc>
        <w:tc>
          <w:tcPr>
            <w:tcW w:w="677" w:type="dxa"/>
            <w:tcMar>
              <w:top w:w="55" w:type="dxa"/>
              <w:left w:w="25" w:type="dxa"/>
              <w:bottom w:w="55" w:type="dxa"/>
              <w:right w:w="25" w:type="dxa"/>
            </w:tcMar>
            <w:vAlign w:val="center"/>
          </w:tcPr>
          <w:p w14:paraId="7E87BC2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74.8</w:t>
            </w:r>
          </w:p>
        </w:tc>
        <w:tc>
          <w:tcPr>
            <w:tcW w:w="677" w:type="dxa"/>
            <w:tcMar>
              <w:top w:w="55" w:type="dxa"/>
              <w:left w:w="25" w:type="dxa"/>
              <w:bottom w:w="55" w:type="dxa"/>
              <w:right w:w="25" w:type="dxa"/>
            </w:tcMar>
            <w:vAlign w:val="center"/>
          </w:tcPr>
          <w:p w14:paraId="545FA6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89.3</w:t>
            </w:r>
          </w:p>
        </w:tc>
        <w:tc>
          <w:tcPr>
            <w:tcW w:w="677" w:type="dxa"/>
            <w:tcMar>
              <w:top w:w="55" w:type="dxa"/>
              <w:left w:w="25" w:type="dxa"/>
              <w:bottom w:w="55" w:type="dxa"/>
              <w:right w:w="25" w:type="dxa"/>
            </w:tcMar>
            <w:vAlign w:val="center"/>
          </w:tcPr>
          <w:p w14:paraId="790261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81.4</w:t>
            </w:r>
          </w:p>
        </w:tc>
        <w:tc>
          <w:tcPr>
            <w:tcW w:w="677" w:type="dxa"/>
            <w:tcMar>
              <w:top w:w="55" w:type="dxa"/>
              <w:left w:w="25" w:type="dxa"/>
              <w:bottom w:w="55" w:type="dxa"/>
              <w:right w:w="25" w:type="dxa"/>
            </w:tcMar>
            <w:vAlign w:val="center"/>
          </w:tcPr>
          <w:p w14:paraId="0FCC8C2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82.8</w:t>
            </w:r>
          </w:p>
        </w:tc>
        <w:tc>
          <w:tcPr>
            <w:tcW w:w="677" w:type="dxa"/>
            <w:tcMar>
              <w:top w:w="55" w:type="dxa"/>
              <w:left w:w="25" w:type="dxa"/>
              <w:bottom w:w="55" w:type="dxa"/>
              <w:right w:w="25" w:type="dxa"/>
            </w:tcMar>
            <w:vAlign w:val="center"/>
          </w:tcPr>
          <w:p w14:paraId="314809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83.1</w:t>
            </w:r>
          </w:p>
        </w:tc>
        <w:tc>
          <w:tcPr>
            <w:tcW w:w="677" w:type="dxa"/>
            <w:tcMar>
              <w:top w:w="55" w:type="dxa"/>
              <w:left w:w="25" w:type="dxa"/>
              <w:bottom w:w="55" w:type="dxa"/>
              <w:right w:w="25" w:type="dxa"/>
            </w:tcMar>
            <w:vAlign w:val="center"/>
          </w:tcPr>
          <w:p w14:paraId="4897675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83.0</w:t>
            </w:r>
          </w:p>
        </w:tc>
        <w:tc>
          <w:tcPr>
            <w:tcW w:w="677" w:type="dxa"/>
            <w:tcMar>
              <w:top w:w="55" w:type="dxa"/>
              <w:left w:w="25" w:type="dxa"/>
              <w:bottom w:w="55" w:type="dxa"/>
              <w:right w:w="25" w:type="dxa"/>
            </w:tcMar>
            <w:vAlign w:val="center"/>
          </w:tcPr>
          <w:p w14:paraId="12AF656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61.6</w:t>
            </w:r>
          </w:p>
        </w:tc>
        <w:tc>
          <w:tcPr>
            <w:tcW w:w="677" w:type="dxa"/>
            <w:tcMar>
              <w:top w:w="55" w:type="dxa"/>
              <w:left w:w="25" w:type="dxa"/>
              <w:bottom w:w="55" w:type="dxa"/>
              <w:right w:w="25" w:type="dxa"/>
            </w:tcMar>
            <w:vAlign w:val="center"/>
          </w:tcPr>
          <w:p w14:paraId="16AF38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57.9</w:t>
            </w:r>
          </w:p>
        </w:tc>
        <w:tc>
          <w:tcPr>
            <w:tcW w:w="677" w:type="dxa"/>
            <w:tcMar>
              <w:top w:w="55" w:type="dxa"/>
              <w:left w:w="25" w:type="dxa"/>
              <w:bottom w:w="55" w:type="dxa"/>
              <w:right w:w="25" w:type="dxa"/>
            </w:tcMar>
            <w:vAlign w:val="center"/>
          </w:tcPr>
          <w:p w14:paraId="7705997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59.7</w:t>
            </w:r>
          </w:p>
        </w:tc>
      </w:tr>
    </w:tbl>
    <w:p w14:paraId="01397737">
      <w:pPr>
        <w:ind w:firstLine="420"/>
        <w:rPr>
          <w:rFonts w:hint="eastAsia"/>
        </w:rPr>
      </w:pPr>
    </w:p>
    <w:p w14:paraId="3AB4EC67">
      <w:pPr>
        <w:pStyle w:val="3"/>
      </w:pPr>
      <w:r>
        <w:rPr>
          <w:rFonts w:hint="eastAsia"/>
        </w:rPr>
        <w:t>Ablation Study</w:t>
      </w:r>
    </w:p>
    <w:p w14:paraId="36383998">
      <w:pPr>
        <w:rPr>
          <w:rFonts w:hint="eastAsia"/>
          <w:lang w:val="en-US" w:eastAsia="zh-CN"/>
        </w:rPr>
      </w:pPr>
      <w:r>
        <w:rPr>
          <w:rFonts w:hint="eastAsia"/>
          <w:lang w:val="en-US" w:eastAsia="zh-CN"/>
        </w:rPr>
        <w:t>消融实验。</w:t>
      </w:r>
    </w:p>
    <w:p w14:paraId="108C6795">
      <w:pPr>
        <w:rPr>
          <w:rFonts w:hint="default"/>
          <w:lang w:val="en-US" w:eastAsia="zh-CN"/>
        </w:rPr>
      </w:pPr>
    </w:p>
    <w:p w14:paraId="77628015">
      <w:pPr>
        <w:pStyle w:val="3"/>
      </w:pPr>
      <w:r>
        <w:t>Analysis of Dual-Granularity Relation Consistency</w:t>
      </w:r>
    </w:p>
    <w:p w14:paraId="35461204">
      <w:pPr>
        <w:ind w:firstLine="420"/>
        <w:rPr>
          <w:rFonts w:hint="eastAsia"/>
        </w:rPr>
      </w:pPr>
      <w:r>
        <w:t>研究不同扩散状态下跨类、类内关系保持程度的变化，验证方法是否真正缓解关系不一致。通过真实与生成特征的 t-SNE、类别混淆或关系结构可视化，直观展示生成质量变化。</w:t>
      </w:r>
    </w:p>
    <w:p w14:paraId="20DA4696">
      <w:pPr>
        <w:ind w:firstLine="420"/>
        <w:rPr>
          <w:rFonts w:hint="eastAsia"/>
        </w:rPr>
      </w:pPr>
    </w:p>
    <w:p w14:paraId="3DC76D2A">
      <w:pPr>
        <w:pStyle w:val="3"/>
        <w:rPr>
          <w:rFonts w:hint="eastAsia"/>
        </w:rPr>
      </w:pPr>
      <w:r>
        <w:t>Hyperparameter Analysis</w:t>
      </w:r>
    </w:p>
    <w:p w14:paraId="336622CD">
      <w:pPr>
        <w:pStyle w:val="2"/>
      </w:pPr>
      <w:r>
        <w:rPr>
          <w:rFonts w:hint="eastAsia"/>
        </w:rPr>
        <w:t>Conclusion</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9C2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E89FC">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E2524">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65E6">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22A3">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2DCA5">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1FE"/>
    <w:multiLevelType w:val="multilevel"/>
    <w:tmpl w:val="00F431FE"/>
    <w:lvl w:ilvl="0" w:tentative="0">
      <w:start w:val="1"/>
      <w:numFmt w:val="japaneseCounting"/>
      <w:lvlText w:val="%1、"/>
      <w:lvlJc w:val="left"/>
      <w:pPr>
        <w:ind w:left="432" w:hanging="43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01739EA"/>
    <w:multiLevelType w:val="multilevel"/>
    <w:tmpl w:val="501739EA"/>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425" w:hanging="425"/>
      </w:pPr>
      <w:rPr>
        <w:rFonts w:hint="eastAsia"/>
      </w:rPr>
    </w:lvl>
    <w:lvl w:ilvl="2" w:tentative="0">
      <w:start w:val="1"/>
      <w:numFmt w:val="decimal"/>
      <w:pStyle w:val="4"/>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F0F"/>
    <w:rsid w:val="00010E46"/>
    <w:rsid w:val="00020DC0"/>
    <w:rsid w:val="00037D68"/>
    <w:rsid w:val="00061847"/>
    <w:rsid w:val="00096755"/>
    <w:rsid w:val="0009786E"/>
    <w:rsid w:val="000A097F"/>
    <w:rsid w:val="000A46EE"/>
    <w:rsid w:val="000C6C8E"/>
    <w:rsid w:val="000D2E6F"/>
    <w:rsid w:val="000D7FA7"/>
    <w:rsid w:val="000E7F15"/>
    <w:rsid w:val="00111D78"/>
    <w:rsid w:val="0015606D"/>
    <w:rsid w:val="00165DC1"/>
    <w:rsid w:val="00191150"/>
    <w:rsid w:val="001D73A7"/>
    <w:rsid w:val="001E2909"/>
    <w:rsid w:val="001F17C6"/>
    <w:rsid w:val="001F4DC8"/>
    <w:rsid w:val="00227C8E"/>
    <w:rsid w:val="0024118C"/>
    <w:rsid w:val="00252A85"/>
    <w:rsid w:val="0026612E"/>
    <w:rsid w:val="00292B5E"/>
    <w:rsid w:val="002C6974"/>
    <w:rsid w:val="002D27C4"/>
    <w:rsid w:val="002E48F0"/>
    <w:rsid w:val="002F3A15"/>
    <w:rsid w:val="00342475"/>
    <w:rsid w:val="00351E48"/>
    <w:rsid w:val="00366121"/>
    <w:rsid w:val="00373CBB"/>
    <w:rsid w:val="003B3D31"/>
    <w:rsid w:val="00414EF4"/>
    <w:rsid w:val="00434F59"/>
    <w:rsid w:val="00484F96"/>
    <w:rsid w:val="00494174"/>
    <w:rsid w:val="004D1963"/>
    <w:rsid w:val="00522575"/>
    <w:rsid w:val="00525B97"/>
    <w:rsid w:val="00535789"/>
    <w:rsid w:val="0054604D"/>
    <w:rsid w:val="00551815"/>
    <w:rsid w:val="005951A4"/>
    <w:rsid w:val="005A1550"/>
    <w:rsid w:val="005A35B5"/>
    <w:rsid w:val="005B1C33"/>
    <w:rsid w:val="005B2DBF"/>
    <w:rsid w:val="005B70F6"/>
    <w:rsid w:val="005F68B4"/>
    <w:rsid w:val="00603AD2"/>
    <w:rsid w:val="0060471E"/>
    <w:rsid w:val="00623AC4"/>
    <w:rsid w:val="0068417B"/>
    <w:rsid w:val="00694CE0"/>
    <w:rsid w:val="006B6683"/>
    <w:rsid w:val="006F3875"/>
    <w:rsid w:val="00721DA2"/>
    <w:rsid w:val="00751EE4"/>
    <w:rsid w:val="007F6700"/>
    <w:rsid w:val="00816E18"/>
    <w:rsid w:val="00824421"/>
    <w:rsid w:val="00846F84"/>
    <w:rsid w:val="00860A20"/>
    <w:rsid w:val="008A37B7"/>
    <w:rsid w:val="009132EB"/>
    <w:rsid w:val="00945A5B"/>
    <w:rsid w:val="00964E43"/>
    <w:rsid w:val="00965B22"/>
    <w:rsid w:val="009741AC"/>
    <w:rsid w:val="00991B7C"/>
    <w:rsid w:val="00992C4D"/>
    <w:rsid w:val="009D366A"/>
    <w:rsid w:val="009F0537"/>
    <w:rsid w:val="00A25D9D"/>
    <w:rsid w:val="00AB38AB"/>
    <w:rsid w:val="00AC48AE"/>
    <w:rsid w:val="00B05363"/>
    <w:rsid w:val="00B207E6"/>
    <w:rsid w:val="00B4448F"/>
    <w:rsid w:val="00B76DF2"/>
    <w:rsid w:val="00B846A5"/>
    <w:rsid w:val="00B961DF"/>
    <w:rsid w:val="00BA109A"/>
    <w:rsid w:val="00BB4BF3"/>
    <w:rsid w:val="00C05F44"/>
    <w:rsid w:val="00C217D1"/>
    <w:rsid w:val="00C44050"/>
    <w:rsid w:val="00C538BF"/>
    <w:rsid w:val="00C601FC"/>
    <w:rsid w:val="00C71E08"/>
    <w:rsid w:val="00C77263"/>
    <w:rsid w:val="00CD5E88"/>
    <w:rsid w:val="00CE539B"/>
    <w:rsid w:val="00CF5F1B"/>
    <w:rsid w:val="00D12367"/>
    <w:rsid w:val="00D37D96"/>
    <w:rsid w:val="00D63AA8"/>
    <w:rsid w:val="00DB7F0F"/>
    <w:rsid w:val="00DC5D13"/>
    <w:rsid w:val="00DD3093"/>
    <w:rsid w:val="00E44CEB"/>
    <w:rsid w:val="00E70AA8"/>
    <w:rsid w:val="00E91029"/>
    <w:rsid w:val="00E92DC6"/>
    <w:rsid w:val="00EA502B"/>
    <w:rsid w:val="00ED3C36"/>
    <w:rsid w:val="00EE4668"/>
    <w:rsid w:val="00EE6A26"/>
    <w:rsid w:val="00F37D79"/>
    <w:rsid w:val="00F402FF"/>
    <w:rsid w:val="00FA571A"/>
    <w:rsid w:val="00FD4302"/>
    <w:rsid w:val="03CE1E00"/>
    <w:rsid w:val="060C194F"/>
    <w:rsid w:val="0EF24286"/>
    <w:rsid w:val="1B703D13"/>
    <w:rsid w:val="37702892"/>
    <w:rsid w:val="53BD5F24"/>
    <w:rsid w:val="55A34864"/>
    <w:rsid w:val="5AAF3178"/>
    <w:rsid w:val="661C4CF4"/>
    <w:rsid w:val="686F6420"/>
    <w:rsid w:val="6FD9690D"/>
    <w:rsid w:val="718F1B19"/>
    <w:rsid w:val="7C1779B9"/>
    <w:rsid w:val="7E04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color w:val="000000" w:themeColor="text1"/>
      <w:kern w:val="2"/>
      <w:sz w:val="21"/>
      <w:szCs w:val="22"/>
      <w:lang w:val="en-US" w:eastAsia="zh-CN" w:bidi="ar-SA"/>
      <w14:textFill>
        <w14:solidFill>
          <w14:schemeClr w14:val="tx1"/>
        </w14:solidFill>
      </w14:textFill>
    </w:rPr>
  </w:style>
  <w:style w:type="paragraph" w:styleId="2">
    <w:name w:val="heading 1"/>
    <w:next w:val="1"/>
    <w:link w:val="24"/>
    <w:qFormat/>
    <w:uiPriority w:val="9"/>
    <w:pPr>
      <w:keepNext/>
      <w:keepLines/>
      <w:numPr>
        <w:ilvl w:val="0"/>
        <w:numId w:val="1"/>
      </w:numPr>
      <w:adjustRightInd w:val="0"/>
      <w:spacing w:before="480" w:after="80"/>
      <w:jc w:val="both"/>
      <w:outlineLvl w:val="0"/>
    </w:pPr>
    <w:rPr>
      <w:rFonts w:ascii="Times New Roman" w:hAnsi="Times New Roman" w:eastAsia="黑体" w:cstheme="majorBidi"/>
      <w:color w:val="000000" w:themeColor="text1"/>
      <w:kern w:val="2"/>
      <w:sz w:val="32"/>
      <w:szCs w:val="48"/>
      <w:lang w:val="en-US" w:eastAsia="zh-CN" w:bidi="ar-SA"/>
      <w14:textFill>
        <w14:solidFill>
          <w14:schemeClr w14:val="tx1"/>
        </w14:solidFill>
      </w14:textFill>
    </w:rPr>
  </w:style>
  <w:style w:type="paragraph" w:styleId="3">
    <w:name w:val="heading 2"/>
    <w:next w:val="1"/>
    <w:link w:val="25"/>
    <w:unhideWhenUsed/>
    <w:qFormat/>
    <w:uiPriority w:val="9"/>
    <w:pPr>
      <w:keepNext/>
      <w:keepLines/>
      <w:numPr>
        <w:ilvl w:val="1"/>
        <w:numId w:val="1"/>
      </w:numPr>
      <w:adjustRightInd w:val="0"/>
      <w:spacing w:before="160" w:after="80"/>
      <w:jc w:val="both"/>
      <w:outlineLvl w:val="1"/>
    </w:pPr>
    <w:rPr>
      <w:rFonts w:ascii="Times New Roman" w:hAnsi="Times New Roman" w:eastAsia="宋体" w:cstheme="majorBidi"/>
      <w:color w:val="000000" w:themeColor="text1"/>
      <w:kern w:val="2"/>
      <w:sz w:val="28"/>
      <w:szCs w:val="40"/>
      <w:lang w:val="en-US" w:eastAsia="zh-CN" w:bidi="ar-SA"/>
      <w14:textFill>
        <w14:solidFill>
          <w14:schemeClr w14:val="tx1"/>
        </w14:solidFill>
      </w14:textFill>
    </w:rPr>
  </w:style>
  <w:style w:type="paragraph" w:styleId="4">
    <w:name w:val="heading 3"/>
    <w:basedOn w:val="1"/>
    <w:next w:val="1"/>
    <w:link w:val="26"/>
    <w:unhideWhenUsed/>
    <w:qFormat/>
    <w:uiPriority w:val="9"/>
    <w:pPr>
      <w:keepNext/>
      <w:keepLines/>
      <w:numPr>
        <w:ilvl w:val="2"/>
        <w:numId w:val="1"/>
      </w:numPr>
      <w:spacing w:before="160" w:after="80"/>
      <w:ind w:firstLine="0" w:firstLineChars="0"/>
      <w:outlineLvl w:val="2"/>
    </w:pPr>
    <w:rPr>
      <w:rFonts w:cstheme="majorBidi"/>
      <w:sz w:val="28"/>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5"/>
    <w:semiHidden/>
    <w:unhideWhenUsed/>
    <w:uiPriority w:val="99"/>
    <w:pPr>
      <w:jc w:val="left"/>
    </w:pPr>
  </w:style>
  <w:style w:type="paragraph" w:styleId="13">
    <w:name w:val="Body Text"/>
    <w:basedOn w:val="1"/>
    <w:link w:val="48"/>
    <w:qFormat/>
    <w:uiPriority w:val="0"/>
    <w:pPr>
      <w:widowControl/>
      <w:spacing w:before="180" w:after="180" w:line="240" w:lineRule="auto"/>
      <w:ind w:firstLine="0" w:firstLineChars="0"/>
      <w:jc w:val="left"/>
    </w:pPr>
    <w:rPr>
      <w:rFonts w:asciiTheme="minorHAnsi" w:hAnsiTheme="minorHAnsi" w:eastAsiaTheme="minorEastAsia"/>
      <w:color w:val="auto"/>
      <w:kern w:val="0"/>
      <w:sz w:val="24"/>
      <w:szCs w:val="24"/>
    </w:rPr>
  </w:style>
  <w:style w:type="paragraph" w:styleId="14">
    <w:name w:val="footer"/>
    <w:basedOn w:val="1"/>
    <w:link w:val="50"/>
    <w:unhideWhenUsed/>
    <w:uiPriority w:val="99"/>
    <w:pPr>
      <w:tabs>
        <w:tab w:val="center" w:pos="4153"/>
        <w:tab w:val="right" w:pos="8306"/>
      </w:tabs>
      <w:snapToGrid w:val="0"/>
      <w:spacing w:line="240" w:lineRule="auto"/>
      <w:jc w:val="left"/>
    </w:pPr>
    <w:rPr>
      <w:sz w:val="18"/>
      <w:szCs w:val="18"/>
    </w:rPr>
  </w:style>
  <w:style w:type="paragraph" w:styleId="15">
    <w:name w:val="header"/>
    <w:basedOn w:val="1"/>
    <w:link w:val="49"/>
    <w:unhideWhenUsed/>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color w:val="auto"/>
      <w:kern w:val="0"/>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2"/>
    <w:next w:val="12"/>
    <w:link w:val="46"/>
    <w:semiHidden/>
    <w:unhideWhenUsed/>
    <w:uiPriority w:val="99"/>
    <w:rPr>
      <w:b/>
      <w:bCs/>
    </w:rPr>
  </w:style>
  <w:style w:type="character" w:styleId="22">
    <w:name w:val="Hyperlink"/>
    <w:basedOn w:val="21"/>
    <w:unhideWhenUsed/>
    <w:uiPriority w:val="99"/>
    <w:rPr>
      <w:color w:val="0563C1" w:themeColor="hyperlink"/>
      <w:u w:val="single"/>
      <w14:textFill>
        <w14:solidFill>
          <w14:schemeClr w14:val="hlink"/>
        </w14:solidFill>
      </w14:textFill>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color w:val="000000" w:themeColor="text1"/>
      <w:sz w:val="32"/>
      <w:szCs w:val="48"/>
      <w14:textFill>
        <w14:solidFill>
          <w14:schemeClr w14:val="tx1"/>
        </w14:solidFill>
      </w14:textFill>
    </w:rPr>
  </w:style>
  <w:style w:type="character" w:customStyle="1" w:styleId="25">
    <w:name w:val="标题 2 字符"/>
    <w:basedOn w:val="21"/>
    <w:link w:val="3"/>
    <w:uiPriority w:val="9"/>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26">
    <w:name w:val="标题 3 字符"/>
    <w:basedOn w:val="21"/>
    <w:link w:val="4"/>
    <w:uiPriority w:val="9"/>
    <w:rPr>
      <w:rFonts w:ascii="Times New Roman" w:hAnsi="Times New Roman" w:eastAsia="宋体" w:cstheme="majorBidi"/>
      <w:color w:val="000000" w:themeColor="text1"/>
      <w:sz w:val="28"/>
      <w:szCs w:val="32"/>
      <w14:textFill>
        <w14:solidFill>
          <w14:schemeClr w14:val="tx1"/>
        </w14:solidFill>
      </w14:textFill>
    </w:rPr>
  </w:style>
  <w:style w:type="character" w:customStyle="1" w:styleId="27">
    <w:name w:val="标题 4 字符"/>
    <w:basedOn w:val="21"/>
    <w:link w:val="5"/>
    <w:semiHidden/>
    <w:uiPriority w:val="9"/>
    <w:rPr>
      <w:rFonts w:cstheme="majorBidi"/>
      <w:color w:val="2F5597" w:themeColor="accent1" w:themeShade="BF"/>
      <w:sz w:val="28"/>
      <w:szCs w:val="28"/>
    </w:rPr>
  </w:style>
  <w:style w:type="character" w:customStyle="1" w:styleId="28">
    <w:name w:val="标题 5 字符"/>
    <w:basedOn w:val="21"/>
    <w:link w:val="6"/>
    <w:semiHidden/>
    <w:uiPriority w:val="9"/>
    <w:rPr>
      <w:rFonts w:cstheme="majorBidi"/>
      <w:color w:val="2F5597" w:themeColor="accent1" w:themeShade="BF"/>
      <w:sz w:val="24"/>
      <w:szCs w:val="24"/>
    </w:rPr>
  </w:style>
  <w:style w:type="character" w:customStyle="1" w:styleId="29">
    <w:name w:val="标题 6 字符"/>
    <w:basedOn w:val="21"/>
    <w:link w:val="7"/>
    <w:semiHidden/>
    <w:uiPriority w:val="9"/>
    <w:rPr>
      <w:rFonts w:cstheme="majorBidi"/>
      <w:b/>
      <w:bCs/>
      <w:color w:val="2F5597" w:themeColor="accent1" w:themeShade="BF"/>
    </w:rPr>
  </w:style>
  <w:style w:type="character" w:customStyle="1" w:styleId="30">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paragraph" w:customStyle="1" w:styleId="42">
    <w:name w:val="标题3"/>
    <w:basedOn w:val="3"/>
    <w:next w:val="1"/>
    <w:link w:val="43"/>
    <w:uiPriority w:val="0"/>
    <w:pPr>
      <w:ind w:firstLine="560"/>
    </w:pPr>
  </w:style>
  <w:style w:type="character" w:customStyle="1" w:styleId="43">
    <w:name w:val="标题3 字符"/>
    <w:basedOn w:val="24"/>
    <w:link w:val="42"/>
    <w:uiPriority w:val="0"/>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44">
    <w:name w:val="未处理的提及1"/>
    <w:basedOn w:val="21"/>
    <w:semiHidden/>
    <w:unhideWhenUsed/>
    <w:uiPriority w:val="99"/>
    <w:rPr>
      <w:color w:val="605E5C"/>
      <w:shd w:val="clear" w:color="auto" w:fill="E1DFDD"/>
    </w:rPr>
  </w:style>
  <w:style w:type="character" w:customStyle="1" w:styleId="45">
    <w:name w:val="批注文字 字符"/>
    <w:basedOn w:val="21"/>
    <w:link w:val="12"/>
    <w:semiHidden/>
    <w:uiPriority w:val="99"/>
    <w:rPr>
      <w:rFonts w:ascii="Times New Roman" w:hAnsi="Times New Roman" w:eastAsia="宋体"/>
      <w:color w:val="000000" w:themeColor="text1"/>
      <w14:textFill>
        <w14:solidFill>
          <w14:schemeClr w14:val="tx1"/>
        </w14:solidFill>
      </w14:textFill>
    </w:rPr>
  </w:style>
  <w:style w:type="character" w:customStyle="1" w:styleId="46">
    <w:name w:val="批注主题 字符"/>
    <w:basedOn w:val="45"/>
    <w:link w:val="19"/>
    <w:semiHidden/>
    <w:uiPriority w:val="99"/>
    <w:rPr>
      <w:rFonts w:ascii="Times New Roman" w:hAnsi="Times New Roman" w:eastAsia="宋体"/>
      <w:b/>
      <w:bCs/>
      <w:color w:val="000000" w:themeColor="text1"/>
      <w14:textFill>
        <w14:solidFill>
          <w14:schemeClr w14:val="tx1"/>
        </w14:solidFill>
      </w14:textFill>
    </w:rPr>
  </w:style>
  <w:style w:type="character" w:styleId="47">
    <w:name w:val="Placeholder Text"/>
    <w:basedOn w:val="21"/>
    <w:semiHidden/>
    <w:uiPriority w:val="99"/>
    <w:rPr>
      <w:color w:val="666666"/>
    </w:rPr>
  </w:style>
  <w:style w:type="character" w:customStyle="1" w:styleId="48">
    <w:name w:val="正文文本 字符"/>
    <w:basedOn w:val="21"/>
    <w:link w:val="13"/>
    <w:uiPriority w:val="0"/>
    <w:rPr>
      <w:kern w:val="0"/>
      <w:sz w:val="24"/>
      <w:szCs w:val="24"/>
    </w:rPr>
  </w:style>
  <w:style w:type="character" w:customStyle="1" w:styleId="49">
    <w:name w:val="页眉 字符"/>
    <w:basedOn w:val="21"/>
    <w:link w:val="15"/>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50">
    <w:name w:val="页脚 字符"/>
    <w:basedOn w:val="21"/>
    <w:link w:val="14"/>
    <w:uiPriority w:val="99"/>
    <w:rPr>
      <w:rFonts w:ascii="Times New Roman" w:hAnsi="Times New Roman" w:eastAsia="宋体"/>
      <w:color w:val="000000" w:themeColor="text1"/>
      <w:sz w:val="18"/>
      <w:szCs w:val="18"/>
      <w14:textFill>
        <w14:solidFill>
          <w14:schemeClr w14:val="tx1"/>
        </w14:solidFill>
      </w14:textFill>
    </w:rPr>
  </w:style>
  <w:style w:type="paragraph" w:customStyle="1" w:styleId="51">
    <w:name w:val="First Paragraph"/>
    <w:basedOn w:val="13"/>
    <w:next w:val="13"/>
    <w:qFormat/>
    <w:uiPriority w:val="0"/>
    <w:pPr>
      <w:widowControl w:val="0"/>
      <w:spacing w:line="300" w:lineRule="auto"/>
      <w:ind w:firstLine="200" w:firstLineChars="200"/>
      <w:jc w:val="both"/>
    </w:pPr>
    <w:rPr>
      <w:rFonts w:ascii="Times New Roman" w:hAnsi="Times New Roman" w:eastAsia="宋体"/>
      <w:color w:val="000000" w:themeColor="text1"/>
      <w:kern w:val="2"/>
      <w:sz w:val="21"/>
      <w:szCs w:val="2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4221</Words>
  <Characters>4717</Characters>
  <Lines>50</Lines>
  <Paragraphs>14</Paragraphs>
  <TotalTime>17</TotalTime>
  <ScaleCrop>false</ScaleCrop>
  <LinksUpToDate>false</LinksUpToDate>
  <CharactersWithSpaces>4794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2026-09-10T05:38:00Z</dcterms:created>
  <dc:creator>青非 隆</dc:creator>
  <cp:lastModifiedBy>缘浅i</cp:lastModifiedBy>
  <dcterms:modified xsi:type="dcterms:W3CDTF">2026-10-22T06:28:48Z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eyJoZGlkIjoiOGJmZjI0NDg1ZDE0NWE2MWVmYjQ3ZjhiMWM0YjRmN2YiLCJ1c2VySWQiOiI4MTE5NzczNTUifQ==</vt:lpwstr>
  </property>
  <property fmtid="{D5CDD505-2E9C-101B-9397-08002B2CF9AE}" pid="3" name="KSOProductBuildVer">
    <vt:lpwstr>2052-12.1.0.29161</vt:lpwstr>
  </property>
  <property fmtid="{D5CDD505-2E9C-101B-9397-08002B2CF9AE}" pid="4" name="ICV">
    <vt:lpwstr>CC430A27A15A4248AA0293E823EED3C7_12</vt:lpwstr>
  </property>
</Properties>
</file>