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ind w:left="425"/>
      </w:pPr>
      <w:r>
        <w:rPr>
          <w:rFonts w:hint="eastAsia"/>
        </w:rPr>
        <w:t>Abstract</w:t>
      </w:r>
    </w:p>
    <w:p w14:paraId="3EC65676">
      <w:pPr>
        <w:ind w:firstLine="420"/>
      </w:pPr>
    </w:p>
    <w:p w14:paraId="59EFC069">
      <w:pPr>
        <w:pStyle w:val="2"/>
      </w:pPr>
      <w:r>
        <w:rPr>
          <w:rFonts w:hint="eastAsia"/>
        </w:rPr>
        <w:t>Introduction</w:t>
      </w:r>
    </w:p>
    <w:p w14:paraId="5DB56A4A">
      <w:pPr>
        <w:ind w:firstLine="420"/>
      </w:pPr>
      <w:r>
        <w:t>零样本学习（ZSL）利用类别语义知识，将已见类别中学习到的知识迁移至未见类别。生成式ZSL通过学习视觉—语义映射，为未见类别合成视觉特征，进而训练分类器。作为代表性方法，ZeroDiff将扩散机制、实例级对比表征与多视角判别结合，以增强视觉—语义关联，为未见类别的特征生成提供支持。</w:t>
      </w:r>
    </w:p>
    <w:p w14:paraId="13BB732D">
      <w:pPr>
        <w:ind w:firstLine="420"/>
      </w:pPr>
      <w:r>
        <w:t>类别语义与实例对比表征描述了不同层次的结构信息。类别语义刻画类别之间的关联，但同类实例共享相同的语义原型，因而无法表达类内差异；实例对比表征则提供样本之间的细粒度关系，为描述同类实例的相对差异提供补充。本文将跨类语义关系与类内实例关系统称为双粒度关系。二者具有不同的监督范围，因此，如何将两种关系分别迁移至生成特征，是充分利用这两类知识的重要问题。</w:t>
      </w:r>
    </w:p>
    <w:p w14:paraId="193E341B">
      <w:pPr>
        <w:keepNext/>
        <w:ind w:firstLine="420"/>
        <w:jc w:val="center"/>
        <w:rPr>
          <w:rFonts w:hint="eastAsia" w:eastAsia="宋体"/>
          <w:lang w:eastAsia="zh-CN"/>
        </w:rPr>
      </w:pPr>
      <w:r>
        <w:rPr>
          <w:rFonts w:hint="eastAsia" w:eastAsia="宋体"/>
          <w:lang w:eastAsia="zh-CN"/>
        </w:rPr>
        <w:drawing>
          <wp:inline distT="0" distB="0" distL="114300" distR="114300">
            <wp:extent cx="5271770" cy="3747135"/>
            <wp:effectExtent l="0" t="0" r="1270" b="1905"/>
            <wp:docPr id="1" name="图片 1" descr="diagnosis_a_rel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nosis_a_relation_error"/>
                    <pic:cNvPicPr>
                      <a:picLocks noChangeAspect="1"/>
                    </pic:cNvPicPr>
                  </pic:nvPicPr>
                  <pic:blipFill>
                    <a:blip r:embed="rId12"/>
                    <a:stretch>
                      <a:fillRect/>
                    </a:stretch>
                  </pic:blipFill>
                  <pic:spPr>
                    <a:xfrm>
                      <a:off x="0" y="0"/>
                      <a:ext cx="5271770" cy="3747135"/>
                    </a:xfrm>
                    <a:prstGeom prst="rect">
                      <a:avLst/>
                    </a:prstGeom>
                  </pic:spPr>
                </pic:pic>
              </a:graphicData>
            </a:graphic>
          </wp:inline>
        </w:drawing>
      </w:r>
    </w:p>
    <w:p w14:paraId="0261B07A">
      <w:pPr>
        <w:pStyle w:val="11"/>
        <w:ind w:firstLine="400"/>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 xml:space="preserve"> ZeroDiff 基线在 AWA2 上的双粒度关系对齐误差</w:t>
      </w:r>
      <w:r>
        <w:rPr>
          <w:rFonts w:ascii="Times New Roman" w:hAnsi="Times New Roman" w:eastAsia="宋体"/>
          <w:sz w:val="18"/>
        </w:rPr>
        <w:t>。</w:t>
      </w:r>
      <w:r>
        <w:rPr>
          <w:rFonts w:hint="eastAsia" w:ascii="Times New Roman" w:hAnsi="Times New Roman" w:eastAsia="宋体"/>
          <w:sz w:val="18"/>
        </w:rPr>
        <w:t>蓝、红曲线分别表示跨类语义关系与类内 PaCo 关系的归一化距离对齐误差，展示两类关系在不同扩散时间步下的对齐偏差。实线与阴影分别表示多次采样的均值与标准差。</w:t>
      </w:r>
    </w:p>
    <w:p w14:paraId="78BBE26D">
      <w:pPr>
        <w:ind w:firstLine="420"/>
      </w:pPr>
      <w:r>
        <w:t>然而，将类别语义与实例表征作为生成条件，并不直接约束生成特征对双粒度关系的保持。为考察这一问题，我们基于冻结的ZeroDiff，在AWA2上固定采样实例与随机输入，衡量不同扩散输入状态下生成特征相对于两类参照的关系对齐误差。如图1所示，两类关系均存在对齐偏差；随着输入噪声增强，类内实例关系误差小幅上升，而跨类语义关系误差整体平稳。这一诊断为考察双粒度关系的保持情况及其状态响应提供了经验依据。关系监督因此需要明确两类知识的作用范围，并控制关系比较所依赖的扩散状态。</w:t>
      </w:r>
    </w:p>
    <w:p w14:paraId="5AEA72F3">
      <w:pPr>
        <w:ind w:firstLine="420"/>
      </w:pPr>
      <w:r>
        <w:t>基于此，我们提出时间感知的多粒度关系一致性学习框架。首先，通过关系空间校准，利用真实视觉特征、对比表征与类别语义持续更新投影器，为关系学习建立经过校准的表示空间。在此基础上，构建同时间步多粒度拓扑一致性约束：以类别语义拓扑指导跨类关系，以实例对比拓扑保持类内结构，使两类关系均在可比的扩散状态下进行对齐。</w:t>
      </w:r>
    </w:p>
    <w:p w14:paraId="6F48AEB7">
      <w:pPr>
        <w:ind w:firstLine="420"/>
      </w:pPr>
      <w:r>
        <w:t>进一步地，我们引入扩散可靠性感知的关系协调机制，以生成器输入的信号保留率作为可靠性代理，对两种粒度的时间步贡献进行差异化重加权。该机制为实例级关系设置更快的权重衰减，并保留权重下限，从而使类级与实例级监督具有不同的噪声响应。通过关系空间校准、同时间步拓扑对齐与可靠性感知重加权，框架将多粒度关系约束融入基础生成训练。本文的主要贡献如下：</w:t>
      </w:r>
    </w:p>
    <w:p w14:paraId="52638589">
      <w:pPr>
        <w:pStyle w:val="37"/>
        <w:numPr>
          <w:ilvl w:val="0"/>
          <w:numId w:val="2"/>
        </w:numPr>
        <w:spacing w:line="240" w:lineRule="auto"/>
        <w:ind w:firstLineChars="0"/>
      </w:pPr>
      <w:r>
        <w:rPr>
          <w:rFonts w:hint="eastAsia"/>
        </w:rPr>
        <w:t>发现</w:t>
      </w:r>
      <w:r>
        <w:t>扩散式ZSL中的多粒度关系不一致问题</w:t>
      </w:r>
      <w:r>
        <w:rPr>
          <w:rFonts w:hint="eastAsia"/>
        </w:rPr>
        <w:t>。</w:t>
      </w:r>
      <w:r>
        <w:t>通过逐时间步诊断，考察两类参考拓扑的保持程度及其噪声响应，为时间感知监督提供动机</w:t>
      </w:r>
      <w:r>
        <w:rPr>
          <w:rFonts w:hint="eastAsia"/>
        </w:rPr>
        <w:t>。</w:t>
      </w:r>
    </w:p>
    <w:p w14:paraId="4F06B7B4">
      <w:pPr>
        <w:pStyle w:val="37"/>
        <w:numPr>
          <w:ilvl w:val="0"/>
          <w:numId w:val="2"/>
        </w:numPr>
        <w:spacing w:line="240" w:lineRule="auto"/>
        <w:ind w:firstLineChars="0"/>
      </w:pPr>
      <w:r>
        <w:t>提出时间感知的多粒度关系一致性方法</w:t>
      </w:r>
      <w:r>
        <w:rPr>
          <w:rFonts w:hint="eastAsia"/>
        </w:rPr>
        <w:t>。</w:t>
      </w:r>
      <w:r>
        <w:t>通过持续更新投影器校准关系表示，并在同一扩散状态下分别约束跨类与类内结构</w:t>
      </w:r>
      <w:r>
        <w:rPr>
          <w:rFonts w:hint="eastAsia"/>
        </w:rPr>
        <w:t>。</w:t>
      </w:r>
    </w:p>
    <w:p w14:paraId="4FC2538D">
      <w:pPr>
        <w:pStyle w:val="37"/>
        <w:numPr>
          <w:ilvl w:val="0"/>
          <w:numId w:val="2"/>
        </w:numPr>
        <w:spacing w:line="240" w:lineRule="auto"/>
        <w:ind w:firstLineChars="0"/>
      </w:pPr>
      <w:r>
        <w:t>在AWA2、CUB和SUN三个基准数据集上开展系统实验。与现有最先进（state-of-the-art，SOTA）方法的比较表明，所提方法在多项ZSL与GZSL评估指标上取得领先结果，并在三个数据集上均优于ZeroDiff基线。</w:t>
      </w:r>
    </w:p>
    <w:p w14:paraId="6D0C15EC">
      <w:pPr>
        <w:ind w:firstLine="420"/>
      </w:pP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14:paraId="2E2610D5">
      <w:pPr>
        <w:pStyle w:val="3"/>
      </w:pPr>
      <w:bookmarkStart w:id="0" w:name="_GoBack"/>
      <w:bookmarkEnd w:id="0"/>
      <w:r>
        <w:rPr>
          <w:rFonts w:hint="eastAsia"/>
        </w:rPr>
        <w:t>Experimental Settings</w:t>
      </w:r>
    </w:p>
    <w:p w14:paraId="50ACAAC4">
      <w:pPr>
        <w:pStyle w:val="3"/>
      </w:pPr>
      <w:r>
        <w:rPr>
          <w:rFonts w:hint="eastAsia"/>
        </w:rPr>
        <w:t>Comparison with State-of-the-Art Methods</w:t>
      </w:r>
    </w:p>
    <w:p w14:paraId="759BA5DF">
      <w:pPr>
        <w:ind w:firstLine="420"/>
      </w:pPr>
      <w:r>
        <w:t>在 AWA2、CUB、SUN 上比较 ZSL Top-1 和 GZSL 的 U、S、H，重点与 ZeroDiff 及同类生成方法比较。</w:t>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Ds-reg</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ascii="Times New Roman" w:hAnsi="Times New Roman" w:eastAsia="Times New Roman" w:cs="Times New Roman"/>
                <w:b/>
                <w:kern w:val="0"/>
                <w:sz w:val="16"/>
                <w:lang w:eastAsia="en-US"/>
              </w:rPr>
              <w:t>Ours</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14:paraId="01397737">
      <w:pPr>
        <w:ind w:firstLine="420"/>
        <w:rPr>
          <w:rFonts w:hint="eastAsia"/>
        </w:rPr>
      </w:pPr>
    </w:p>
    <w:tbl>
      <w:tblPr>
        <w:tblW w:type="dxa" w:w="8306"/>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CellMar>
          <w:top w:w="40" w:type="dxa"/>
          <w:bottom w:w="40" w:type="dxa"/>
          <w:left w:w="65" w:type="dxa"/>
          <w:right w:w="65" w:type="dxa"/>
        </w:tblCellMar>
      </w:tblPr>
      <w:tblGrid>
        <w:gridCol w:w="1729"/>
        <w:gridCol w:w="822"/>
        <w:gridCol w:w="822"/>
        <w:gridCol w:w="822"/>
        <w:gridCol w:w="822"/>
        <w:gridCol w:w="822"/>
        <w:gridCol w:w="822"/>
        <w:gridCol w:w="822"/>
        <w:gridCol w:w="822"/>
      </w:tblGrid>
      <w:tr>
        <w:trPr>
          <w:cantSplit/>
          <w:tblHeader/>
        </w:trPr>
        <w:tc>
          <w:tcPr>
            <w:tcW w:type="dxa" w:w="1729"/>
            <w:vMerge w:val="restart"/>
            <w:vAlign w:val="center"/>
          </w:tcPr>
          <w:p>
            <w:pPr>
              <w:keepNext/>
              <w:spacing w:before="0" w:after="0" w:line="240" w:lineRule="auto"/>
              <w:ind w:left="0" w:right="0" w:firstLine="0" w:leftChars="0" w:rightChars="0" w:firstLineChars="0"/>
              <w:jc w:val="left"/>
            </w:pPr>
            <w:r>
              <w:rPr>
                <w:rFonts w:ascii="Times New Roman" w:hAnsi="Times New Roman" w:eastAsia="Times New Roman" w:cs="Times New Roman"/>
                <w:b w:val="0"/>
                <w:sz w:val="21"/>
              </w:rPr>
              <w:t>Method</w:t>
            </w:r>
          </w:p>
        </w:tc>
        <w:tc>
          <w:tcPr>
            <w:tcW w:type="dxa" w:w="3288"/>
            <w:gridSpan w:val="4"/>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AWA2</w:t>
            </w:r>
          </w:p>
        </w:tc>
        <w:tc>
          <w:tcPr>
            <w:tcW w:type="dxa" w:w="3288"/>
            <w:gridSpan w:val="4"/>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SUN</w:t>
            </w:r>
          </w:p>
        </w:tc>
      </w:tr>
      <w:tr>
        <w:trPr>
          <w:cantSplit/>
          <w:tblHeader/>
        </w:trPr>
        <w:tc>
          <w:tcPr>
            <w:tcW w:type="dxa" w:w="1729"/>
            <w:vMerge/>
          </w:tcP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r>
      <w:tr>
        <w:trPr>
          <w:cantSplit/>
          <w:tblHeader/>
        </w:trPr>
        <w:tc>
          <w:tcPr>
            <w:tcW w:type="dxa" w:w="1729"/>
            <w:vMerge/>
            <w:tcBorders>
              <w:bottom w:val="single" w:sz="6" w:color="000000" w:space="0"/>
            </w:tcBorders>
          </w:tcP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r>
      <w:tr>
        <w:trPr>
          <w:cantSplit/>
        </w:trPr>
        <w:tc>
          <w:tcPr>
            <w:tcW w:type="dxa" w:w="1729"/>
            <w:vAlign w:val="center"/>
          </w:tcPr>
          <w:p>
            <w:pPr>
              <w:keepNext/>
              <w:spacing w:before="0" w:after="0" w:line="240" w:lineRule="auto"/>
              <w:ind w:left="0" w:right="0" w:firstLine="0" w:leftChars="0" w:rightChars="0" w:firstLineChars="0"/>
              <w:jc w:val="left"/>
            </w:pPr>
            <w:r>
              <w:rPr>
                <w:rFonts w:ascii="Times New Roman" w:hAnsi="Times New Roman" w:eastAsia="Times New Roman" w:cs="Times New Roman"/>
                <w:b w:val="0"/>
                <w:sz w:val="21"/>
              </w:rPr>
              <w:t>ZeroDiff</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83.0</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78.2</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82.9</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76.4</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73.5</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51.2</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58.1</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30.5</w:t>
            </w:r>
          </w:p>
        </w:tc>
      </w:tr>
      <w:tr>
        <w:trPr>
          <w:cantSplit/>
        </w:trPr>
        <w:tc>
          <w:tcPr>
            <w:tcW w:type="dxa" w:w="1729"/>
            <w:vAlign w:val="center"/>
          </w:tcPr>
          <w:p>
            <w:pPr>
              <w:keepNext w:val="0"/>
              <w:spacing w:before="0" w:after="0" w:line="240" w:lineRule="auto"/>
              <w:ind w:left="0" w:right="0" w:firstLine="0" w:leftChars="0" w:rightChars="0" w:firstLineChars="0"/>
              <w:jc w:val="left"/>
            </w:pPr>
            <w:r>
              <w:rPr>
                <w:rFonts w:ascii="Times New Roman" w:hAnsi="Times New Roman" w:eastAsia="Times New Roman" w:cs="Times New Roman"/>
                <w:b/>
                <w:sz w:val="21"/>
              </w:rPr>
              <w:t>Ours</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84.2</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79.1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84.1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77.4</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75.3</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52.3</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60.1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31.8</w:t>
            </w:r>
          </w:p>
        </w:tc>
      </w:tr>
    </w:tbl>
    <w:p w14:paraId="3AB4EC67">
      <w:pPr>
        <w:pStyle w:val="3"/>
      </w:pPr>
      <w:r>
        <w:rPr>
          <w:rFonts w:hint="eastAsia"/>
        </w:rPr>
        <w:t>Ablation Study</w:t>
      </w:r>
    </w:p>
    <w:p w14:paraId="36383998">
      <w:pPr>
        <w:keepNext/>
        <w:rPr>
          <w:rFonts w:hint="eastAsia"/>
          <w:lang w:val="en-US" w:eastAsia="zh-CN"/>
        </w:rPr>
      </w:pPr>
      <w:r>
        <w:rPr>
          <w:rFonts w:hint="eastAsia"/>
          <w:lang w:val="en-US" w:eastAsia="zh-CN"/>
        </w:rPr>
        <w:t>消融实验。</w:t>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70" w:type="dxa"/>
          <w:bottom w:w="40" w:type="dxa"/>
          <w:right w:w="70" w:type="dxa"/>
        </w:tblCellMar>
      </w:tblPr>
      <w:tblGrid>
        <w:gridCol w:w="3742"/>
        <w:gridCol w:w="761"/>
        <w:gridCol w:w="761"/>
        <w:gridCol w:w="761"/>
        <w:gridCol w:w="761"/>
        <w:gridCol w:w="761"/>
        <w:gridCol w:w="761"/>
      </w:tblGrid>
      <w:tr w14:paraId="7C601A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restart"/>
            <w:tcBorders>
              <w:bottom w:val="single" w:color="000000" w:sz="6" w:space="0"/>
            </w:tcBorders>
            <w:shd w:val="clear" w:color="auto" w:fill="FFFFFF"/>
            <w:vAlign w:val="center"/>
          </w:tcPr>
          <w:p w14:paraId="760D0152">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Methods</w:t>
            </w:r>
          </w:p>
        </w:tc>
        <w:tc>
          <w:tcPr>
            <w:tcW w:w="1522" w:type="dxa"/>
            <w:gridSpan w:val="2"/>
            <w:tcBorders>
              <w:bottom w:val="single" w:color="000000" w:sz="4" w:space="0"/>
            </w:tcBorders>
            <w:shd w:val="clear" w:color="auto" w:fill="FFFFFF"/>
            <w:vAlign w:val="center"/>
          </w:tcPr>
          <w:p w14:paraId="22CA2D8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1522" w:type="dxa"/>
            <w:gridSpan w:val="2"/>
            <w:tcBorders>
              <w:bottom w:val="single" w:color="000000" w:sz="4" w:space="0"/>
            </w:tcBorders>
            <w:shd w:val="clear" w:color="auto" w:fill="FFFFFF"/>
            <w:vAlign w:val="center"/>
          </w:tcPr>
          <w:p w14:paraId="37816D2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CUB</w:t>
            </w:r>
          </w:p>
        </w:tc>
        <w:tc>
          <w:tcPr>
            <w:tcW w:w="1522" w:type="dxa"/>
            <w:gridSpan w:val="2"/>
            <w:tcBorders>
              <w:bottom w:val="single" w:color="000000" w:sz="4" w:space="0"/>
            </w:tcBorders>
            <w:shd w:val="clear" w:color="auto" w:fill="FFFFFF"/>
            <w:vAlign w:val="center"/>
          </w:tcPr>
          <w:p w14:paraId="4777547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1F0F10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continue"/>
            <w:tcBorders>
              <w:bottom w:val="single" w:color="000000" w:sz="6" w:space="0"/>
            </w:tcBorders>
          </w:tcPr>
          <w:p w14:paraId="1E012556"/>
        </w:tc>
        <w:tc>
          <w:tcPr>
            <w:tcW w:w="761" w:type="dxa"/>
            <w:tcBorders>
              <w:bottom w:val="single" w:color="000000" w:sz="6" w:space="0"/>
            </w:tcBorders>
            <w:shd w:val="clear" w:color="auto" w:fill="FFFFFF"/>
            <w:vAlign w:val="center"/>
          </w:tcPr>
          <w:p w14:paraId="74527F4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4D41D2D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16A9A52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5DAD10F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3E09CDB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28C5F66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601DE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159410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Alignment</w:t>
            </w:r>
          </w:p>
        </w:tc>
        <w:tc>
          <w:tcPr>
            <w:tcW w:w="761" w:type="dxa"/>
            <w:shd w:val="clear" w:color="auto" w:fill="FFFFFF"/>
            <w:vAlign w:val="center"/>
          </w:tcPr>
          <w:p w14:paraId="3141BFA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84.3</w:t>
            </w:r>
          </w:p>
        </w:tc>
        <w:tc>
          <w:tcPr>
            <w:tcW w:w="761" w:type="dxa"/>
            <w:shd w:val="clear" w:color="auto" w:fill="FFFFFF"/>
            <w:vAlign w:val="center"/>
          </w:tcPr>
          <w:p w14:paraId="1B42C7B0">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78.1</w:t>
            </w:r>
          </w:p>
        </w:tc>
        <w:tc>
          <w:tcPr>
            <w:tcW w:w="761" w:type="dxa"/>
            <w:shd w:val="clear" w:color="auto" w:fill="FFFFFF"/>
            <w:vAlign w:val="center"/>
          </w:tcPr>
          <w:p w14:paraId="6034206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87.9</w:t>
            </w:r>
          </w:p>
        </w:tc>
        <w:tc>
          <w:tcPr>
            <w:tcW w:w="761" w:type="dxa"/>
            <w:shd w:val="clear" w:color="auto" w:fill="FFFFFF"/>
            <w:vAlign w:val="center"/>
          </w:tcPr>
          <w:p w14:paraId="2B84CC2C">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80.7</w:t>
            </w:r>
          </w:p>
        </w:tc>
        <w:tc>
          <w:tcPr>
            <w:tcW w:w="761" w:type="dxa"/>
            <w:shd w:val="clear" w:color="auto" w:fill="FFFFFF"/>
            <w:vAlign w:val="center"/>
          </w:tcPr>
          <w:p w14:paraId="34C0E4E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76.1</w:t>
            </w:r>
          </w:p>
        </w:tc>
        <w:tc>
          <w:tcPr>
            <w:tcW w:w="761" w:type="dxa"/>
            <w:shd w:val="clear" w:color="auto" w:fill="FFFFFF"/>
            <w:vAlign w:val="center"/>
          </w:tcPr>
          <w:p w14:paraId="7CAAADA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5F222A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D45895F">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Instance Alignment</w:t>
            </w:r>
          </w:p>
        </w:tc>
        <w:tc>
          <w:tcPr>
            <w:tcW w:w="761" w:type="dxa"/>
            <w:shd w:val="clear" w:color="auto" w:fill="FFFFFF"/>
            <w:vAlign w:val="center"/>
          </w:tcPr>
          <w:p w14:paraId="491AEB6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83.4</w:t>
            </w:r>
          </w:p>
        </w:tc>
        <w:tc>
          <w:tcPr>
            <w:tcW w:w="761" w:type="dxa"/>
            <w:shd w:val="clear" w:color="auto" w:fill="FFFFFF"/>
            <w:vAlign w:val="center"/>
          </w:tcPr>
          <w:p w14:paraId="0CEEEC3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76.6</w:t>
            </w:r>
          </w:p>
        </w:tc>
        <w:tc>
          <w:tcPr>
            <w:tcW w:w="761" w:type="dxa"/>
            <w:shd w:val="clear" w:color="auto" w:fill="FFFFFF"/>
            <w:vAlign w:val="center"/>
          </w:tcPr>
          <w:p w14:paraId="40C648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86.5</w:t>
            </w:r>
          </w:p>
        </w:tc>
        <w:tc>
          <w:tcPr>
            <w:tcW w:w="761" w:type="dxa"/>
            <w:shd w:val="clear" w:color="auto" w:fill="FFFFFF"/>
            <w:vAlign w:val="center"/>
          </w:tcPr>
          <w:p w14:paraId="797FBC9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81.5</w:t>
            </w:r>
          </w:p>
        </w:tc>
        <w:tc>
          <w:tcPr>
            <w:tcW w:w="761" w:type="dxa"/>
            <w:shd w:val="clear" w:color="auto" w:fill="FFFFFF"/>
            <w:vAlign w:val="center"/>
          </w:tcPr>
          <w:p w14:paraId="0EEB56B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74.9</w:t>
            </w:r>
          </w:p>
        </w:tc>
        <w:tc>
          <w:tcPr>
            <w:tcW w:w="761" w:type="dxa"/>
            <w:shd w:val="clear" w:color="auto" w:fill="FFFFFF"/>
            <w:vAlign w:val="center"/>
          </w:tcPr>
          <w:p w14:paraId="4F4153E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56.3</w:t>
            </w:r>
          </w:p>
        </w:tc>
      </w:tr>
      <w:tr w14:paraId="05D60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2D779B2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GSR</w:t>
            </w:r>
          </w:p>
        </w:tc>
        <w:tc>
          <w:tcPr>
            <w:tcW w:w="761" w:type="dxa"/>
            <w:shd w:val="clear" w:color="auto" w:fill="FFFFFF"/>
            <w:vAlign w:val="center"/>
          </w:tcPr>
          <w:p w14:paraId="7189B18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83.5</w:t>
            </w:r>
          </w:p>
        </w:tc>
        <w:tc>
          <w:tcPr>
            <w:tcW w:w="761" w:type="dxa"/>
            <w:shd w:val="clear" w:color="auto" w:fill="FFFFFF"/>
            <w:vAlign w:val="center"/>
          </w:tcPr>
          <w:p w14:paraId="1F60C00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79.8</w:t>
            </w:r>
          </w:p>
        </w:tc>
        <w:tc>
          <w:tcPr>
            <w:tcW w:w="761" w:type="dxa"/>
            <w:shd w:val="clear" w:color="auto" w:fill="FFFFFF"/>
            <w:vAlign w:val="center"/>
          </w:tcPr>
          <w:p w14:paraId="5626037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86.1</w:t>
            </w:r>
          </w:p>
        </w:tc>
        <w:tc>
          <w:tcPr>
            <w:tcW w:w="761" w:type="dxa"/>
            <w:shd w:val="clear" w:color="auto" w:fill="FFFFFF"/>
            <w:vAlign w:val="center"/>
          </w:tcPr>
          <w:p w14:paraId="5555F29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BB8E8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75.9</w:t>
            </w:r>
          </w:p>
        </w:tc>
        <w:tc>
          <w:tcPr>
            <w:tcW w:w="761" w:type="dxa"/>
            <w:shd w:val="clear" w:color="auto" w:fill="FFFFFF"/>
            <w:vAlign w:val="center"/>
          </w:tcPr>
          <w:p w14:paraId="119F032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37101B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32624DF7">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Shared State Weights</w:t>
            </w:r>
          </w:p>
        </w:tc>
        <w:tc>
          <w:tcPr>
            <w:tcW w:w="761" w:type="dxa"/>
            <w:shd w:val="clear" w:color="auto" w:fill="FFFFFF"/>
            <w:vAlign w:val="center"/>
          </w:tcPr>
          <w:p w14:paraId="34042F9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83.3</w:t>
            </w:r>
          </w:p>
        </w:tc>
        <w:tc>
          <w:tcPr>
            <w:tcW w:w="761" w:type="dxa"/>
            <w:shd w:val="clear" w:color="auto" w:fill="FFFFFF"/>
            <w:vAlign w:val="center"/>
          </w:tcPr>
          <w:p w14:paraId="5783C38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79.9</w:t>
            </w:r>
          </w:p>
        </w:tc>
        <w:tc>
          <w:tcPr>
            <w:tcW w:w="761" w:type="dxa"/>
            <w:shd w:val="clear" w:color="auto" w:fill="FFFFFF"/>
            <w:vAlign w:val="center"/>
          </w:tcPr>
          <w:p w14:paraId="4601EC8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86.6</w:t>
            </w:r>
          </w:p>
        </w:tc>
        <w:tc>
          <w:tcPr>
            <w:tcW w:w="761" w:type="dxa"/>
            <w:shd w:val="clear" w:color="auto" w:fill="FFFFFF"/>
            <w:vAlign w:val="center"/>
          </w:tcPr>
          <w:p w14:paraId="1354342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81.8</w:t>
            </w:r>
          </w:p>
        </w:tc>
        <w:tc>
          <w:tcPr>
            <w:tcW w:w="761" w:type="dxa"/>
            <w:shd w:val="clear" w:color="auto" w:fill="FFFFFF"/>
            <w:vAlign w:val="center"/>
          </w:tcPr>
          <w:p w14:paraId="5EAD53A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76.9</w:t>
            </w:r>
          </w:p>
        </w:tc>
        <w:tc>
          <w:tcPr>
            <w:tcW w:w="761" w:type="dxa"/>
            <w:shd w:val="clear" w:color="auto" w:fill="FFFFFF"/>
            <w:vAlign w:val="center"/>
          </w:tcPr>
          <w:p w14:paraId="6AAAD879">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58.4</w:t>
            </w:r>
          </w:p>
        </w:tc>
      </w:tr>
      <w:tr w14:paraId="1680DD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028AE1A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&amp; Instance Alignment</w:t>
            </w:r>
          </w:p>
        </w:tc>
        <w:tc>
          <w:tcPr>
            <w:tcW w:w="761" w:type="dxa"/>
            <w:shd w:val="clear" w:color="auto" w:fill="FFFFFF"/>
            <w:vAlign w:val="center"/>
          </w:tcPr>
          <w:p w14:paraId="421F1C9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D8ED2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75.2</w:t>
            </w:r>
          </w:p>
        </w:tc>
        <w:tc>
          <w:tcPr>
            <w:tcW w:w="761" w:type="dxa"/>
            <w:shd w:val="clear" w:color="auto" w:fill="FFFFFF"/>
            <w:vAlign w:val="center"/>
          </w:tcPr>
          <w:p w14:paraId="731CBFF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82.5</w:t>
            </w:r>
          </w:p>
        </w:tc>
        <w:tc>
          <w:tcPr>
            <w:tcW w:w="761" w:type="dxa"/>
            <w:shd w:val="clear" w:color="auto" w:fill="FFFFFF"/>
            <w:vAlign w:val="center"/>
          </w:tcPr>
          <w:p w14:paraId="52400B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77.7</w:t>
            </w:r>
          </w:p>
        </w:tc>
        <w:tc>
          <w:tcPr>
            <w:tcW w:w="761" w:type="dxa"/>
            <w:shd w:val="clear" w:color="auto" w:fill="FFFFFF"/>
            <w:vAlign w:val="center"/>
          </w:tcPr>
          <w:p w14:paraId="1A78AEC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72.9</w:t>
            </w:r>
          </w:p>
        </w:tc>
        <w:tc>
          <w:tcPr>
            <w:tcW w:w="761" w:type="dxa"/>
            <w:shd w:val="clear" w:color="auto" w:fill="FFFFFF"/>
            <w:vAlign w:val="center"/>
          </w:tcPr>
          <w:p w14:paraId="6141599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55.2</w:t>
            </w:r>
          </w:p>
        </w:tc>
      </w:tr>
      <w:tr w14:paraId="646D43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5894C02E">
            <w:pPr>
              <w:keepNext w:val="0"/>
              <w:widowControl w:val="0"/>
              <w:spacing w:before="0" w:after="0" w:line="240" w:lineRule="auto"/>
              <w:ind w:left="0" w:leftChars="0" w:right="0" w:rightChars="0" w:firstLine="0" w:firstLineChars="0"/>
              <w:jc w:val="left"/>
            </w:pPr>
            <w:r>
              <w:rPr>
                <w:rFonts w:ascii="Times New Roman" w:hAnsi="Times New Roman" w:eastAsia="Times New Roman" w:cs="Times New Roman"/>
                <w:b/>
                <w:sz w:val="21"/>
              </w:rPr>
              <w:t>Full Model (Ours)</w:t>
            </w:r>
          </w:p>
        </w:tc>
        <w:tc>
          <w:tcPr>
            <w:tcW w:w="761" w:type="dxa"/>
            <w:shd w:val="clear" w:color="auto" w:fill="FFFFFF"/>
            <w:vAlign w:val="center"/>
          </w:tcPr>
          <w:p w14:paraId="0A5CDECA">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86.4</w:t>
            </w:r>
          </w:p>
        </w:tc>
        <w:tc>
          <w:tcPr>
            <w:tcW w:w="761" w:type="dxa"/>
            <w:shd w:val="clear" w:color="auto" w:fill="FFFFFF"/>
            <w:vAlign w:val="center"/>
          </w:tcPr>
          <w:p w14:paraId="2C7EC139">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81.4</w:t>
            </w:r>
          </w:p>
        </w:tc>
        <w:tc>
          <w:tcPr>
            <w:tcW w:w="761" w:type="dxa"/>
            <w:shd w:val="clear" w:color="auto" w:fill="FFFFFF"/>
            <w:vAlign w:val="center"/>
          </w:tcPr>
          <w:p w14:paraId="58ABE4B3">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88.2</w:t>
            </w:r>
          </w:p>
        </w:tc>
        <w:tc>
          <w:tcPr>
            <w:tcW w:w="761" w:type="dxa"/>
            <w:shd w:val="clear" w:color="auto" w:fill="FFFFFF"/>
            <w:vAlign w:val="center"/>
          </w:tcPr>
          <w:p w14:paraId="713E46ED">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83.0</w:t>
            </w:r>
          </w:p>
        </w:tc>
        <w:tc>
          <w:tcPr>
            <w:tcW w:w="761" w:type="dxa"/>
            <w:shd w:val="clear" w:color="auto" w:fill="FFFFFF"/>
            <w:vAlign w:val="center"/>
          </w:tcPr>
          <w:p w14:paraId="1C0EA78C">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77.8</w:t>
            </w:r>
          </w:p>
        </w:tc>
        <w:tc>
          <w:tcPr>
            <w:tcW w:w="761" w:type="dxa"/>
            <w:shd w:val="clear" w:color="auto" w:fill="FFFFFF"/>
            <w:vAlign w:val="center"/>
          </w:tcPr>
          <w:p w14:paraId="1C224166">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59.7</w:t>
            </w:r>
          </w:p>
        </w:tc>
      </w:tr>
    </w:tbl>
    <w:p w14:paraId="77628015">
      <w:pPr>
        <w:pStyle w:val="3"/>
        <w:keepNext/>
        <w:keepLines/>
      </w:pPr>
      <w:r>
        <w:t>Analysis of Dual-Granularity Relation Consistency</w:t>
      </w:r>
    </w:p>
    <w:p w14:paraId="35461204">
      <w:pPr>
        <w:ind w:firstLine="420"/>
        <w:rPr>
          <w:rFonts w:hint="eastAsia"/>
        </w:rPr>
        <w:keepNext/>
        <w:keepLines/>
      </w:pPr>
      <w:r>
        <w:t>研究不同扩散状态下跨类、类内关系保持程度的变化，验证方法是否真正缓解关系不一致。通过真实与生成特征的 t-SNE、类别混淆或关系结构可视化，直观展示生成质量变化。</w:t>
      </w:r>
    </w:p>
    <w:tbl>
      <w:tblPr>
        <w:tblW w:type="dxa" w:w="8306"/>
        <w:jc w:val="center"/>
        <w:tblLayout w:type="fixed"/>
        <w:tblLook w:firstColumn="1" w:firstRow="1" w:lastColumn="0" w:lastRow="0" w:noHBand="0" w:noVBand="1" w:val="04A0"/>
        <w:tblBorders>
          <w:top w:val="nil"/>
          <w:bottom w:val="nil"/>
          <w:left w:val="nil"/>
          <w:right w:val="nil"/>
          <w:insideH w:val="nil"/>
          <w:insideV w:val="nil"/>
        </w:tblBorders>
        <w:tblCellMar>
          <w:top w:w="0" w:type="dxa"/>
          <w:bottom w:w="0" w:type="dxa"/>
          <w:left w:w="0" w:type="dxa"/>
          <w:right w:w="0" w:type="dxa"/>
        </w:tblCellMar>
      </w:tblPr>
      <w:tblGrid>
        <w:gridCol w:w="2769"/>
        <w:gridCol w:w="2769"/>
        <w:gridCol w:w="2769"/>
      </w:tblGrid>
      <w:tr>
        <w:trPr>
          <w:cantSplit/>
        </w:trPr>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19"/>
              </w:rPr>
              <w:t>100% training samples</w:t>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19"/>
              </w:rPr>
              <w:t>30% training samples</w:t>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19"/>
              </w:rPr>
              <w:t>10% training samples</w:t>
            </w:r>
          </w:p>
        </w:tc>
      </w:tr>
      <w:tr>
        <w:trPr>
          <w:cantSplit/>
        </w:trPr>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2" name="tSNE panel 2" descr="AWA2 zerodiff: 100pct training samples; circles: real; stars: generated."/>
                  <wp:cNvGraphicFramePr>
                    <a:graphicFrameLocks noChangeAspect="1"/>
                  </wp:cNvGraphicFramePr>
                  <a:graphic>
                    <a:graphicData uri="http://schemas.openxmlformats.org/drawingml/2006/picture">
                      <pic:pic>
                        <pic:nvPicPr>
                          <pic:cNvPr id="0" name="zerodiff_real_vs_generated_100pct_20261022_154700_d1bc8d86.png"/>
                          <pic:cNvPicPr/>
                        </pic:nvPicPr>
                        <pic:blipFill>
                          <a:blip r:embed="rId15"/>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3" name="tSNE panel 3" descr="AWA2 zerodiff: 30pct training samples; circles: real; stars: generated."/>
                  <wp:cNvGraphicFramePr>
                    <a:graphicFrameLocks noChangeAspect="1"/>
                  </wp:cNvGraphicFramePr>
                  <a:graphic>
                    <a:graphicData uri="http://schemas.openxmlformats.org/drawingml/2006/picture">
                      <pic:pic>
                        <pic:nvPicPr>
                          <pic:cNvPr id="0" name="zerodiff_real_vs_generated_30pct_20261022_154700_d1bc8d86.png"/>
                          <pic:cNvPicPr/>
                        </pic:nvPicPr>
                        <pic:blipFill>
                          <a:blip r:embed="rId16"/>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4" name="tSNE panel 4" descr="AWA2 zerodiff: 10pct training samples; circles: real; stars: generated."/>
                  <wp:cNvGraphicFramePr>
                    <a:graphicFrameLocks noChangeAspect="1"/>
                  </wp:cNvGraphicFramePr>
                  <a:graphic>
                    <a:graphicData uri="http://schemas.openxmlformats.org/drawingml/2006/picture">
                      <pic:pic>
                        <pic:nvPicPr>
                          <pic:cNvPr id="0" name="zerodiff_real_vs_generated_10pct_20261022_154700_d1bc8d86.png"/>
                          <pic:cNvPicPr/>
                        </pic:nvPicPr>
                        <pic:blipFill>
                          <a:blip r:embed="rId17"/>
                          <a:srcRect l="4127" t="10000" r="2063" b="4348"/>
                          <a:stretch>
                            <a:fillRect/>
                          </a:stretch>
                        </pic:blipFill>
                        <pic:spPr>
                          <a:xfrm>
                            <a:off x="0" y="0"/>
                            <a:ext cx="1717199" cy="1717199"/>
                          </a:xfrm>
                          <a:prstGeom prst="rect"/>
                        </pic:spPr>
                      </pic:pic>
                    </a:graphicData>
                  </a:graphic>
                </wp:inline>
              </w:drawing>
            </w:r>
          </w:p>
        </w:tc>
      </w:tr>
      <w:tr>
        <w:trPr>
          <w:cantSplit/>
        </w:trPr>
        <w:tc>
          <w:tcPr>
            <w:tcW w:type="dxa" w:w="8307"/>
            <w:gridSpan w:val="3"/>
            <w:vAlign w:val="center"/>
          </w:tcPr>
          <w:p>
            <w:pPr>
              <w:keepNext/>
              <w:keepLines/>
              <w:widowControl w:val="0"/>
              <w:spacing w:before="40" w:after="80" w:line="240" w:lineRule="auto"/>
              <w:ind w:left="0" w:right="0" w:firstLine="0" w:leftChars="0" w:rightChars="0" w:firstLineChars="0"/>
              <w:jc w:val="center"/>
            </w:pPr>
            <w:r>
              <w:rPr>
                <w:rFonts w:ascii="Times New Roman" w:hAnsi="Times New Roman" w:cs="Times New Roman" w:eastAsia="宋体"/>
                <w:sz w:val="21"/>
              </w:rPr>
              <w:t>ZeroDiff</w:t>
            </w:r>
          </w:p>
        </w:tc>
      </w:tr>
      <w:tr>
        <w:trPr>
          <w:cantSplit/>
        </w:trPr>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5" name="tSNE panel 5" descr="AWA2 rediff: 100pct training samples; circles: real; stars: generated."/>
                  <wp:cNvGraphicFramePr>
                    <a:graphicFrameLocks noChangeAspect="1"/>
                  </wp:cNvGraphicFramePr>
                  <a:graphic>
                    <a:graphicData uri="http://schemas.openxmlformats.org/drawingml/2006/picture">
                      <pic:pic>
                        <pic:nvPicPr>
                          <pic:cNvPr id="0" name="rediff_real_vs_generated_100pct_20261022_154700_d1bc8d86.png"/>
                          <pic:cNvPicPr/>
                        </pic:nvPicPr>
                        <pic:blipFill>
                          <a:blip r:embed="rId18"/>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6" name="tSNE panel 6" descr="AWA2 rediff: 30pct training samples; circles: real; stars: generated."/>
                  <wp:cNvGraphicFramePr>
                    <a:graphicFrameLocks noChangeAspect="1"/>
                  </wp:cNvGraphicFramePr>
                  <a:graphic>
                    <a:graphicData uri="http://schemas.openxmlformats.org/drawingml/2006/picture">
                      <pic:pic>
                        <pic:nvPicPr>
                          <pic:cNvPr id="0" name="rediff_real_vs_generated_30pct_20261022_154700_d1bc8d86.png"/>
                          <pic:cNvPicPr/>
                        </pic:nvPicPr>
                        <pic:blipFill>
                          <a:blip r:embed="rId19"/>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7" name="tSNE panel 7" descr="AWA2 rediff: 10pct training samples; circles: real; stars: generated."/>
                  <wp:cNvGraphicFramePr>
                    <a:graphicFrameLocks noChangeAspect="1"/>
                  </wp:cNvGraphicFramePr>
                  <a:graphic>
                    <a:graphicData uri="http://schemas.openxmlformats.org/drawingml/2006/picture">
                      <pic:pic>
                        <pic:nvPicPr>
                          <pic:cNvPr id="0" name="rediff_real_vs_generated_10pct_20261022_154700_d1bc8d86.png"/>
                          <pic:cNvPicPr/>
                        </pic:nvPicPr>
                        <pic:blipFill>
                          <a:blip r:embed="rId20"/>
                          <a:srcRect l="4127" t="10000" r="2063" b="4348"/>
                          <a:stretch>
                            <a:fillRect/>
                          </a:stretch>
                        </pic:blipFill>
                        <pic:spPr>
                          <a:xfrm>
                            <a:off x="0" y="0"/>
                            <a:ext cx="1717199" cy="1717199"/>
                          </a:xfrm>
                          <a:prstGeom prst="rect"/>
                        </pic:spPr>
                      </pic:pic>
                    </a:graphicData>
                  </a:graphic>
                </wp:inline>
              </w:drawing>
            </w:r>
          </w:p>
        </w:tc>
      </w:tr>
      <w:tr>
        <w:trPr>
          <w:cantSplit/>
        </w:trPr>
        <w:tc>
          <w:tcPr>
            <w:tcW w:type="dxa" w:w="8307"/>
            <w:gridSpan w:val="3"/>
            <w:vAlign w:val="center"/>
          </w:tcPr>
          <w:p>
            <w:pPr>
              <w:keepNext/>
              <w:keepLines/>
              <w:widowControl w:val="0"/>
              <w:spacing w:before="40" w:after="80" w:line="240" w:lineRule="auto"/>
              <w:ind w:left="0" w:right="0" w:firstLine="0" w:leftChars="0" w:rightChars="0" w:firstLineChars="0"/>
              <w:jc w:val="center"/>
            </w:pPr>
            <w:r>
              <w:rPr>
                <w:rFonts w:ascii="Times New Roman" w:hAnsi="Times New Roman" w:cs="Times New Roman" w:eastAsia="宋体"/>
                <w:sz w:val="21"/>
              </w:rPr>
              <w:t>Ours</w:t>
            </w:r>
          </w:p>
        </w:tc>
      </w:tr>
    </w:tbl>
    <w:p>
      <w:pPr>
        <w:keepNext w:val="0"/>
        <w:keepLines/>
        <w:widowControl w:val="0"/>
        <w:spacing w:before="0" w:after="120" w:line="276" w:lineRule="auto"/>
        <w:ind w:left="0" w:right="0" w:firstLine="0" w:leftChars="0" w:rightChars="0" w:firstLineChars="0"/>
        <w:jc w:val="both"/>
      </w:pPr>
      <w:r>
        <w:rPr>
          <w:rFonts w:ascii="Times New Roman" w:hAnsi="Times New Roman" w:cs="Times New Roman" w:eastAsia="宋体"/>
          <w:sz w:val="20"/>
        </w:rPr>
        <w:t>图 2 不同训练样本比例下 AWA2 未见类特征的 t-SNE 可视化。上、下排分别为 ZeroDiff 和本文方法，各列依次对应 100%、30% 和 10% 的已见类训练样本。每类展示 100 个生成样本及全部真实样本；颜色表示类别，空心圆和星形分别表示真实与生成特征。各子图采用相同设置独立降维。</w:t>
      </w:r>
    </w:p>
    <w:p w14:paraId="3DC76D2A">
      <w:pPr>
        <w:pStyle w:val="3"/>
        <w:rPr>
          <w:rFonts w:hint="eastAsia"/>
        </w:rPr>
      </w:pPr>
      <w:r>
        <w:t>Hyperparameter Analysis</w:t>
      </w:r>
    </w:p>
    <w:p w14:paraId="336622CD">
      <w:pPr>
        <w:pStyle w:val="2"/>
      </w:pPr>
      <w:r>
        <w:rPr>
          <w:rFonts w:hint="eastAsia"/>
        </w:rPr>
        <w:t>Conclusion</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8D628C5"/>
    <w:rsid w:val="0EF24286"/>
    <w:rsid w:val="1B703D13"/>
    <w:rsid w:val="37702892"/>
    <w:rsid w:val="53BD5F24"/>
    <w:rsid w:val="55A34864"/>
    <w:rsid w:val="5AAF3178"/>
    <w:rsid w:val="661C4CF4"/>
    <w:rsid w:val="686F6420"/>
    <w:rsid w:val="6BC32289"/>
    <w:rsid w:val="6FD9690D"/>
    <w:rsid w:val="718F1B19"/>
    <w:rsid w:val="7C1779B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uiPriority w:val="99"/>
    <w:rPr>
      <w:b/>
      <w:bCs/>
    </w:r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uiPriority w:val="9"/>
    <w:rPr>
      <w:rFonts w:cstheme="majorBidi"/>
      <w:color w:val="2F5597" w:themeColor="accent1" w:themeShade="BF"/>
      <w:sz w:val="28"/>
      <w:szCs w:val="28"/>
    </w:rPr>
  </w:style>
  <w:style w:type="character" w:customStyle="1" w:styleId="28">
    <w:name w:val="标题 5 字符"/>
    <w:basedOn w:val="21"/>
    <w:link w:val="6"/>
    <w:semiHidden/>
    <w:uiPriority w:val="9"/>
    <w:rPr>
      <w:rFonts w:cstheme="majorBidi"/>
      <w:color w:val="2F5597" w:themeColor="accent1" w:themeShade="BF"/>
      <w:sz w:val="24"/>
      <w:szCs w:val="24"/>
    </w:rPr>
  </w:style>
  <w:style w:type="character" w:customStyle="1" w:styleId="29">
    <w:name w:val="标题 6 字符"/>
    <w:basedOn w:val="21"/>
    <w:link w:val="7"/>
    <w:semiHidden/>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5" Type="http://schemas.openxmlformats.org/officeDocument/2006/relationships/image" Target="media/tsne_image1.png"/><Relationship Id="rId16" Type="http://schemas.openxmlformats.org/officeDocument/2006/relationships/image" Target="media/tsne_image2.png"/><Relationship Id="rId17" Type="http://schemas.openxmlformats.org/officeDocument/2006/relationships/image" Target="media/tsne_image3.png"/><Relationship Id="rId18" Type="http://schemas.openxmlformats.org/officeDocument/2006/relationships/image" Target="media/tsne_image4.png"/><Relationship Id="rId19" Type="http://schemas.openxmlformats.org/officeDocument/2006/relationships/image" Target="media/tsne_image5.png"/><Relationship Id="rId20" Type="http://schemas.openxmlformats.org/officeDocument/2006/relationships/image" Target="media/tsne_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4221</Words>
  <Characters>4717</Characters>
  <Lines>50</Lines>
  <Paragraphs>14</Paragraphs>
  <TotalTime>0</TotalTime>
  <ScaleCrop>false</ScaleCrop>
  <LinksUpToDate>false</LinksUpToDate>
  <CharactersWithSpaces>4794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LFF</cp:lastModifiedBy>
  <dcterms:modified xsi:type="dcterms:W3CDTF">2026-10-22T07:11:53Z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CC430A27A15A4248AA0293E823EED3C7_12</vt:lpwstr>
  </property>
</Properties>
</file>