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等线"/>
        </w:rPr>
        <w:t>LFM2.5-8B-A1B、Qwen3-8B 与 Qwen3.5 系列 Q4_0 端侧 CPU 性能与资源占用对比报告（OnePlus PLK110）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总结：</w:t>
      </w:r>
      <w:r>
        <w:rPr>
          <w:rFonts w:ascii="Arial" w:hAnsi="Arial" w:eastAsia="等线"/>
        </w:rPr>
        <w:t xml:space="preserve">本次报告将 OnePlus PLK110（Qualcomm SM8850）CPU-only 路径下四个 Q4_0 配置的全部有效运行结果统一比较。32K 档位的 Prefill 吞吐依次为：LFM2.5-8B-A1B </w:t>
      </w:r>
      <w:r>
        <w:rPr>
          <w:rFonts w:ascii="Arial" w:hAnsi="Arial" w:eastAsia="等线"/>
          <w:b/>
        </w:rPr>
        <w:t>29.59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2.94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12.67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50.61</w:t>
      </w:r>
      <w:r>
        <w:rPr>
          <w:rFonts w:ascii="Arial" w:hAnsi="Arial" w:eastAsia="等线"/>
        </w:rPr>
        <w:t xml:space="preserve"> tokens/s；长文本连续生成吞吐依次为：LFM2.5-8B-A1B </w:t>
      </w:r>
      <w:r>
        <w:rPr>
          <w:rFonts w:ascii="Arial" w:hAnsi="Arial" w:eastAsia="等线"/>
          <w:b/>
        </w:rPr>
        <w:t>13.67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0.73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1.54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21.12</w:t>
      </w:r>
      <w:r>
        <w:rPr>
          <w:rFonts w:ascii="Arial" w:hAnsi="Arial" w:eastAsia="等线"/>
        </w:rPr>
        <w:t xml:space="preserve"> tokens/s。四配置参数规模与架构不同，数值用于呈现各自在相同设备和测试方法下的实测运行特征，不计算跨模型提升率或排名。</w:t>
      </w:r>
    </w:p>
    <w:p>
      <w:pPr>
        <w:spacing w:before="0" w:after="0"/>
        <w:pBdr>
          <w:bottom w:val="single" w:color="DEE0E3" w:sz="2" w:space="0"/>
        </w:pBdr>
      </w:pPr>
    </w:p>
    <w:p>
      <w:pPr>
        <w:pStyle w:val="Title"/>
      </w:pPr>
      <w:r>
        <w:rPr>
          <w:rFonts w:ascii="Arial" w:hAnsi="Arial" w:eastAsia="等线"/>
        </w:rPr>
        <w:t>一、核心结论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本报告按指标统一展示四个配置，不再分别展开模型章节。核心结果覆盖 1K-32K Prefill、长文本连续生成、Attention KV Cache 与进程 Peak RSS。</w:t>
      </w:r>
    </w:p>
    <w:p>
      <w:pPr>
        <w:pStyle w:val="CustomerBullet"/>
        <w:keepNext/>
        <w:numPr>
          <w:ilvl w:val="0"/>
          <w:numId w:val="10"/>
        </w:numPr>
      </w:pPr>
      <w:r>
        <w:rPr>
          <w:rFonts w:ascii="Arial" w:hAnsi="Arial" w:eastAsia="等线"/>
          <w:b/>
        </w:rPr>
        <w:t>Prefill：</w:t>
      </w:r>
      <w:r>
        <w:rPr>
          <w:rFonts w:ascii="Arial" w:hAnsi="Arial" w:eastAsia="等线"/>
        </w:rPr>
        <w:t xml:space="preserve">1K 档位为 LFM2.5-8B-A1B </w:t>
      </w:r>
      <w:r>
        <w:rPr>
          <w:rFonts w:ascii="Arial" w:hAnsi="Arial" w:eastAsia="等线"/>
          <w:b/>
        </w:rPr>
        <w:t>100.83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44.31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30.90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390.21</w:t>
      </w:r>
      <w:r>
        <w:rPr>
          <w:rFonts w:ascii="Arial" w:hAnsi="Arial" w:eastAsia="等线"/>
        </w:rPr>
        <w:t xml:space="preserve"> tokens/s；32K 档位为 LFM2.5-8B-A1B </w:t>
      </w:r>
      <w:r>
        <w:rPr>
          <w:rFonts w:ascii="Arial" w:hAnsi="Arial" w:eastAsia="等线"/>
          <w:b/>
        </w:rPr>
        <w:t>29.59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2.94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12.67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50.61</w:t>
      </w:r>
      <w:r>
        <w:rPr>
          <w:rFonts w:ascii="Arial" w:hAnsi="Arial" w:eastAsia="等线"/>
        </w:rPr>
        <w:t xml:space="preserve"> tokens/s。</w:t>
      </w:r>
    </w:p>
    <w:p>
      <w:pPr>
        <w:pStyle w:val="CustomerBullet"/>
        <w:keepNext/>
        <w:numPr>
          <w:ilvl w:val="0"/>
          <w:numId w:val="11"/>
        </w:numPr>
      </w:pPr>
      <w:r>
        <w:rPr>
          <w:rFonts w:ascii="Arial" w:hAnsi="Arial" w:eastAsia="等线"/>
          <w:b/>
        </w:rPr>
        <w:t>Decode：</w:t>
      </w:r>
      <w:r>
        <w:rPr>
          <w:rFonts w:ascii="Arial" w:hAnsi="Arial" w:eastAsia="等线"/>
        </w:rPr>
        <w:t xml:space="preserve">1K 连续生成为 LFM2.5-8B-A1B </w:t>
      </w:r>
      <w:r>
        <w:rPr>
          <w:rFonts w:ascii="Arial" w:hAnsi="Arial" w:eastAsia="等线"/>
          <w:b/>
        </w:rPr>
        <w:t>37.75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2.48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7.83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59.21</w:t>
      </w:r>
      <w:r>
        <w:rPr>
          <w:rFonts w:ascii="Arial" w:hAnsi="Arial" w:eastAsia="等线"/>
        </w:rPr>
        <w:t xml:space="preserve"> tokens/s；32K 连续生成为 LFM2.5-8B-A1B </w:t>
      </w:r>
      <w:r>
        <w:rPr>
          <w:rFonts w:ascii="Arial" w:hAnsi="Arial" w:eastAsia="等线"/>
          <w:b/>
        </w:rPr>
        <w:t>13.67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0.73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1.54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21.12</w:t>
      </w:r>
      <w:r>
        <w:rPr>
          <w:rFonts w:ascii="Arial" w:hAnsi="Arial" w:eastAsia="等线"/>
        </w:rPr>
        <w:t xml:space="preserve"> tokens/s。</w:t>
      </w:r>
    </w:p>
    <w:p>
      <w:pPr>
        <w:pStyle w:val="CustomerBullet"/>
        <w:keepNext/>
        <w:numPr>
          <w:ilvl w:val="0"/>
          <w:numId w:val="12"/>
        </w:numPr>
      </w:pPr>
      <w:r>
        <w:rPr>
          <w:rFonts w:ascii="Arial" w:hAnsi="Arial" w:eastAsia="等线"/>
          <w:b/>
        </w:rPr>
        <w:t>Attention KV Cache：</w:t>
      </w:r>
      <w:r>
        <w:rPr>
          <w:rFonts w:ascii="Arial" w:hAnsi="Arial" w:eastAsia="等线"/>
        </w:rPr>
        <w:t xml:space="preserve">32K 档位为 LFM2.5-8B-A1B </w:t>
      </w:r>
      <w:r>
        <w:rPr>
          <w:rFonts w:ascii="Arial" w:hAnsi="Arial" w:eastAsia="等线"/>
          <w:b/>
        </w:rPr>
        <w:t>387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4644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1032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387</w:t>
      </w:r>
      <w:r>
        <w:rPr>
          <w:rFonts w:ascii="Arial" w:hAnsi="Arial" w:eastAsia="等线"/>
        </w:rPr>
        <w:t xml:space="preserve"> MiB；该指标已扣除各模型单独分配的递归状态。</w:t>
      </w:r>
    </w:p>
    <w:p>
      <w:pPr>
        <w:pStyle w:val="CustomerBullet"/>
        <w:numPr>
          <w:ilvl w:val="0"/>
          <w:numId w:val="13"/>
        </w:numPr>
      </w:pPr>
      <w:r>
        <w:rPr>
          <w:rFonts w:ascii="Arial" w:hAnsi="Arial" w:eastAsia="等线"/>
          <w:b/>
        </w:rPr>
        <w:t>进程 Peak RSS：</w:t>
      </w:r>
      <w:r>
        <w:rPr>
          <w:rFonts w:ascii="Arial" w:hAnsi="Arial" w:eastAsia="等线"/>
        </w:rPr>
        <w:t xml:space="preserve">32K Prefill 为 LFM2.5-8B-A1B </w:t>
      </w:r>
      <w:r>
        <w:rPr>
          <w:rFonts w:ascii="Arial" w:hAnsi="Arial" w:eastAsia="等线"/>
          <w:b/>
        </w:rPr>
        <w:t>6160.18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10054.95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7252.77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2018.27</w:t>
      </w:r>
      <w:r>
        <w:rPr>
          <w:rFonts w:ascii="Arial" w:hAnsi="Arial" w:eastAsia="等线"/>
        </w:rPr>
        <w:t xml:space="preserve"> MiB；32K Decode 为 LFM2.5-8B-A1B </w:t>
      </w:r>
      <w:r>
        <w:rPr>
          <w:rFonts w:ascii="Arial" w:hAnsi="Arial" w:eastAsia="等线"/>
          <w:b/>
        </w:rPr>
        <w:t>5308.57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9045.38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6143.08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1192.35</w:t>
      </w:r>
      <w:r>
        <w:rPr>
          <w:rFonts w:ascii="Arial" w:hAnsi="Arial" w:eastAsia="等线"/>
        </w:rPr>
        <w:t xml:space="preserve"> MiB。</w:t>
      </w:r>
    </w:p>
    <w:p>
      <w:pPr>
        <w:spacing w:before="0" w:after="0"/>
        <w:pBdr>
          <w:bottom w:val="single" w:color="DEE0E3" w:sz="2" w:space="0"/>
        </w:pBdr>
      </w:pPr>
    </w:p>
    <w:p>
      <w:pPr>
        <w:pStyle w:val="Title"/>
      </w:pPr>
      <w:r>
        <w:rPr>
          <w:rFonts w:ascii="Arial" w:hAnsi="Arial" w:eastAsia="等线"/>
        </w:rPr>
        <w:t>二、测试范围与指标说明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本次报告汇总四个已完成配置的单次运行记录，并在每项指标中使用同一组 1K、2K、3K、4K、8K、16K、32K 档位进行并排展示。</w:t>
      </w:r>
    </w:p>
    <w:p>
      <w:pPr>
        <w:keepNext/>
        <w:widowControl/>
        <w:spacing w:line="288" w:lineRule="auto" w:before="120" w:after="120"/>
        <w:jc w:val="both"/>
      </w:pPr>
      <w:r>
        <w:rPr>
          <w:rFonts w:ascii="Arial" w:hAnsi="Arial" w:eastAsia="等线"/>
          <w:b/>
        </w:rPr>
        <w:t>硬件与系统环境：</w:t>
      </w:r>
      <w:r>
        <w:rPr>
          <w:rFonts w:ascii="Arial" w:hAnsi="Arial" w:eastAsia="等线"/>
        </w:rPr>
        <w:t>以下信息用于说明测试依赖的平台和运行路径。</w:t>
      </w:r>
    </w:p>
    <w:p>
      <w:pPr>
        <w:pStyle w:val="CustomerBullet"/>
        <w:keepNext/>
        <w:numPr>
          <w:ilvl w:val="0"/>
          <w:numId w:val="14"/>
        </w:numPr>
      </w:pPr>
      <w:r>
        <w:rPr>
          <w:rFonts w:ascii="Arial" w:hAnsi="Arial" w:eastAsia="等线"/>
        </w:rPr>
        <w:t>测试平台：OnePlus PLK110，Qualcomm SM8850，Android 16，arm64-v8a。</w:t>
      </w:r>
    </w:p>
    <w:p>
      <w:pPr>
        <w:pStyle w:val="CustomerBullet"/>
        <w:numPr>
          <w:ilvl w:val="0"/>
          <w:numId w:val="15"/>
        </w:numPr>
      </w:pPr>
      <w:r>
        <w:rPr>
          <w:rFonts w:ascii="Arial" w:hAnsi="Arial" w:eastAsia="等线"/>
        </w:rPr>
        <w:t xml:space="preserve">后端路径：llama.cpp CPU-only，6 线程，CPU Mask </w:t>
      </w:r>
      <w:r>
        <w:rPr>
          <w:rFonts w:ascii="Arial" w:hAnsi="Arial" w:eastAsia="等线"/>
          <w:sz w:val="22"/>
        </w:rPr>
        <w:t>0xfc</w:t>
      </w:r>
      <w:r>
        <w:rPr>
          <w:rFonts w:ascii="Arial" w:hAnsi="Arial" w:eastAsia="等线"/>
        </w:rPr>
        <w:t>，</w:t>
      </w:r>
      <w:r>
        <w:rPr>
          <w:rFonts w:ascii="Arial" w:hAnsi="Arial" w:eastAsia="等线"/>
          <w:sz w:val="22"/>
        </w:rPr>
        <w:t>NGL=0</w:t>
      </w:r>
      <w:r>
        <w:rPr>
          <w:rFonts w:ascii="Arial" w:hAnsi="Arial" w:eastAsia="等线"/>
        </w:rPr>
        <w:t>，</w:t>
      </w:r>
      <w:r>
        <w:rPr>
          <w:rFonts w:ascii="Arial" w:hAnsi="Arial" w:eastAsia="等线"/>
          <w:sz w:val="22"/>
        </w:rPr>
        <w:t>DEVICE=none</w:t>
      </w:r>
      <w:r>
        <w:rPr>
          <w:rFonts w:ascii="Arial" w:hAnsi="Arial" w:eastAsia="等线"/>
        </w:rPr>
        <w:t>。</w:t>
      </w:r>
    </w:p>
    <w:p>
      <w:pPr>
        <w:keepNext/>
        <w:widowControl/>
        <w:spacing w:line="288" w:lineRule="auto" w:before="120" w:after="120"/>
        <w:jc w:val="both"/>
      </w:pPr>
      <w:r>
        <w:rPr>
          <w:rFonts w:ascii="Arial" w:hAnsi="Arial" w:eastAsia="等线"/>
          <w:b/>
        </w:rPr>
        <w:t>部署实验设置与指标定义：</w:t>
      </w:r>
      <w:r>
        <w:rPr>
          <w:rFonts w:ascii="Arial" w:hAnsi="Arial" w:eastAsia="等线"/>
        </w:rPr>
        <w:t>以下信息用于说明配置范围和统计方式。</w:t>
      </w:r>
    </w:p>
    <w:p>
      <w:pPr>
        <w:pStyle w:val="CustomerBullet"/>
        <w:keepNext/>
        <w:numPr>
          <w:ilvl w:val="0"/>
          <w:numId w:val="16"/>
        </w:numPr>
      </w:pPr>
      <w:r>
        <w:rPr>
          <w:rFonts w:ascii="Arial" w:hAnsi="Arial" w:eastAsia="等线"/>
        </w:rPr>
        <w:t>模型配置：LFM2.5-8B-A1B（8.47B）、Qwen3-8B（8.19B）、Qwen3.5-9B（9.20B）、Qwen3.5-0.8B（772.85M），权重均为 Q4_0。</w:t>
      </w:r>
    </w:p>
    <w:p>
      <w:pPr>
        <w:pStyle w:val="CustomerBullet"/>
        <w:keepNext/>
        <w:numPr>
          <w:ilvl w:val="0"/>
          <w:numId w:val="17"/>
        </w:numPr>
      </w:pPr>
      <w:r>
        <w:rPr>
          <w:rFonts w:ascii="Arial" w:hAnsi="Arial" w:eastAsia="等线"/>
        </w:rPr>
        <w:t>推理设置：关闭 Flash Attention、关闭 KV 与算子卸载，</w:t>
      </w:r>
      <w:r>
        <w:rPr>
          <w:rFonts w:ascii="Arial" w:hAnsi="Arial" w:eastAsia="等线"/>
          <w:sz w:val="22"/>
        </w:rPr>
        <w:t>batch-size=2048</w:t>
      </w:r>
      <w:r>
        <w:rPr>
          <w:rFonts w:ascii="Arial" w:hAnsi="Arial" w:eastAsia="等线"/>
        </w:rPr>
        <w:t>，</w:t>
      </w:r>
      <w:r>
        <w:rPr>
          <w:rFonts w:ascii="Arial" w:hAnsi="Arial" w:eastAsia="等线"/>
          <w:sz w:val="22"/>
        </w:rPr>
        <w:t>ubatch-size=512</w:t>
      </w:r>
      <w:r>
        <w:rPr>
          <w:rFonts w:ascii="Arial" w:hAnsi="Arial" w:eastAsia="等线"/>
        </w:rPr>
        <w:t>。</w:t>
      </w:r>
    </w:p>
    <w:p>
      <w:pPr>
        <w:pStyle w:val="CustomerBullet"/>
        <w:keepNext/>
        <w:numPr>
          <w:ilvl w:val="0"/>
          <w:numId w:val="18"/>
        </w:numPr>
      </w:pPr>
      <w:r>
        <w:rPr>
          <w:rFonts w:ascii="Arial" w:hAnsi="Arial" w:eastAsia="等线"/>
        </w:rPr>
        <w:t>Prefill：输入对应长度 Prompt，吞吐取 llama.cpp prompt evaluation 统计。</w:t>
      </w:r>
    </w:p>
    <w:p>
      <w:pPr>
        <w:pStyle w:val="CustomerBullet"/>
        <w:keepNext/>
        <w:numPr>
          <w:ilvl w:val="0"/>
          <w:numId w:val="19"/>
        </w:numPr>
      </w:pPr>
      <w:r>
        <w:rPr>
          <w:rFonts w:ascii="Arial" w:hAnsi="Arial" w:eastAsia="等线"/>
        </w:rPr>
        <w:t>Decode：约 128-token Prompt 后连续生成对应长度文本，速度为整个生成区间平均值。</w:t>
      </w:r>
    </w:p>
    <w:p>
      <w:pPr>
        <w:pStyle w:val="CustomerBullet"/>
        <w:keepNext/>
        <w:numPr>
          <w:ilvl w:val="0"/>
          <w:numId w:val="20"/>
        </w:numPr>
      </w:pPr>
      <w:r>
        <w:rPr>
          <w:rFonts w:ascii="Arial" w:hAnsi="Arial" w:eastAsia="等线"/>
        </w:rPr>
        <w:t>资源：Peak RSS 取 Android VmHWM；Attention KV Cache 为总 Context 状态扣除递归状态后的注意力缓存。</w:t>
      </w:r>
    </w:p>
    <w:p>
      <w:pPr>
        <w:pStyle w:val="CustomerBullet"/>
        <w:numPr>
          <w:ilvl w:val="0"/>
          <w:numId w:val="21"/>
        </w:numPr>
      </w:pPr>
      <w:r>
        <w:rPr>
          <w:rFonts w:ascii="Arial" w:hAnsi="Arial" w:eastAsia="等线"/>
        </w:rPr>
        <w:t>统计方式：每个配置、阶段和长度档位执行 1 次；不同配置来自连续测试批次，长时间运行期间的供电和温控状态可能影响观测值。</w:t>
      </w:r>
    </w:p>
    <w:p>
      <w:r>
        <w:br w:type="page"/>
      </w:r>
    </w:p>
    <w:p>
      <w:pPr>
        <w:pStyle w:val="Title"/>
      </w:pPr>
      <w:r>
        <w:rPr>
          <w:rFonts w:ascii="Arial" w:hAnsi="Arial" w:eastAsia="等线"/>
        </w:rPr>
        <w:t>三、Prefill 吞吐统一对比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Prefill 吞吐反映模型处理输入 Prompt 并建立上下文状态的速度。下图将四个配置在全部七个 Prompt 档位中并排展示。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prefi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1：LFM2.5、Qwen3 与 Qwen3.5 系列 Prefill 吞吐统一对比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1K 档位，四配置观测值为 LFM2.5-8B-A1B </w:t>
      </w:r>
      <w:r>
        <w:rPr>
          <w:rFonts w:ascii="Arial" w:hAnsi="Arial" w:eastAsia="等线"/>
          <w:b/>
        </w:rPr>
        <w:t>100.83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44.31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30.90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390.21</w:t>
      </w:r>
      <w:r>
        <w:rPr>
          <w:rFonts w:ascii="Arial" w:hAnsi="Arial" w:eastAsia="等线"/>
        </w:rPr>
        <w:t xml:space="preserve"> tokens/s；在 32K 档位为 LFM2.5-8B-A1B </w:t>
      </w:r>
      <w:r>
        <w:rPr>
          <w:rFonts w:ascii="Arial" w:hAnsi="Arial" w:eastAsia="等线"/>
          <w:b/>
        </w:rPr>
        <w:t>29.59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2.94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12.67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50.61</w:t>
      </w:r>
      <w:r>
        <w:rPr>
          <w:rFonts w:ascii="Arial" w:hAnsi="Arial" w:eastAsia="等线"/>
        </w:rPr>
        <w:t xml:space="preserve"> tokens/s。随着 Prompt 从 1K 增至 32K，四条结果序列整体均呈下降趋势。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四配置均完成 32K Prefill，32K 观测范围为 </w:t>
      </w:r>
      <w:r>
        <w:rPr>
          <w:rFonts w:ascii="Arial" w:hAnsi="Arial" w:eastAsia="等线"/>
          <w:b/>
        </w:rPr>
        <w:t>2.94-50.61 tokens/s</w:t>
      </w:r>
      <w:r>
        <w:rPr>
          <w:rFonts w:ascii="Arial" w:hAnsi="Arial" w:eastAsia="等线"/>
        </w:rPr>
        <w:t>；该范围描述不同规模与架构配置的实测分布，不表示同模型方案间的提升关系。</w:t>
      </w:r>
    </w:p>
    <w:p>
      <w:r>
        <w:br w:type="page"/>
      </w:r>
    </w:p>
    <w:p>
      <w:pPr>
        <w:pStyle w:val="Title"/>
      </w:pPr>
      <w:r>
        <w:rPr>
          <w:rFonts w:ascii="Arial" w:hAnsi="Arial" w:eastAsia="等线"/>
        </w:rPr>
        <w:t>四、长文本连续生成吞吐统一对比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Decode 指标表示约 128-token Prompt 后连续生成对应长度文本的区间平均吞吐，生成长度增加时，已累积上下文同步增长。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de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2：LFM2.5、Qwen3 与 Qwen3.5 系列长文本连续生成吞吐统一对比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1K 连续生成档位，四配置观测值为 LFM2.5-8B-A1B </w:t>
      </w:r>
      <w:r>
        <w:rPr>
          <w:rFonts w:ascii="Arial" w:hAnsi="Arial" w:eastAsia="等线"/>
          <w:b/>
        </w:rPr>
        <w:t>37.75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2.48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7.83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59.21</w:t>
      </w:r>
      <w:r>
        <w:rPr>
          <w:rFonts w:ascii="Arial" w:hAnsi="Arial" w:eastAsia="等线"/>
        </w:rPr>
        <w:t xml:space="preserve"> tokens/s；在 32K 档位为 LFM2.5-8B-A1B </w:t>
      </w:r>
      <w:r>
        <w:rPr>
          <w:rFonts w:ascii="Arial" w:hAnsi="Arial" w:eastAsia="等线"/>
          <w:b/>
        </w:rPr>
        <w:t>13.67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0.73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1.54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21.12</w:t>
      </w:r>
      <w:r>
        <w:rPr>
          <w:rFonts w:ascii="Arial" w:hAnsi="Arial" w:eastAsia="等线"/>
        </w:rPr>
        <w:t xml:space="preserve"> tokens/s。四配置在更长生成区间内的平均吞吐均低于各自 1K 结果。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四配置均完成 32K 连续生成，32K 区间平均吞吐范围为 </w:t>
      </w:r>
      <w:r>
        <w:rPr>
          <w:rFonts w:ascii="Arial" w:hAnsi="Arial" w:eastAsia="等线"/>
          <w:b/>
        </w:rPr>
        <w:t>0.73-21.12 tokens/s</w:t>
      </w:r>
      <w:r>
        <w:rPr>
          <w:rFonts w:ascii="Arial" w:hAnsi="Arial" w:eastAsia="等线"/>
        </w:rPr>
        <w:t>；该指标不等同于固定 Context 深度下生成 TG128 的瞬时速度。</w:t>
      </w:r>
    </w:p>
    <w:p>
      <w:r>
        <w:br w:type="page"/>
      </w:r>
    </w:p>
    <w:p>
      <w:pPr>
        <w:pStyle w:val="Title"/>
      </w:pPr>
      <w:r>
        <w:rPr>
          <w:rFonts w:ascii="Arial" w:hAnsi="Arial" w:eastAsia="等线"/>
        </w:rPr>
        <w:t>五、Attention KV Cache 统一对比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Attention KV Cache 表示注意力历史状态随上下文长度增长产生的内存占用。为保持语义一致，下图从总 Context 状态中扣除了各配置的递归状态。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attention_kv_cach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3：LFM2.5、Qwen3 与 Qwen3.5 系列 Attention KV Cache 统一对比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32K 档位，Attention KV Cache 为 LFM2.5-8B-A1B </w:t>
      </w:r>
      <w:r>
        <w:rPr>
          <w:rFonts w:ascii="Arial" w:hAnsi="Arial" w:eastAsia="等线"/>
          <w:b/>
        </w:rPr>
        <w:t>387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4644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1032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387</w:t>
      </w:r>
      <w:r>
        <w:rPr>
          <w:rFonts w:ascii="Arial" w:hAnsi="Arial" w:eastAsia="等线"/>
        </w:rPr>
        <w:t xml:space="preserve"> MiB。LFM2.5-8B-A1B 与 Qwen3.5-0.8B 的 Attention KV Cache 在七个档位中数值相同，但两者递归状态和模型结构并不相同。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四配置的 Attention KV Cache 均随长度增长，32K 观测范围为 </w:t>
      </w:r>
      <w:r>
        <w:rPr>
          <w:rFonts w:ascii="Arial" w:hAnsi="Arial" w:eastAsia="等线"/>
          <w:b/>
        </w:rPr>
        <w:t>387-4644 MiB</w:t>
      </w:r>
      <w:r>
        <w:rPr>
          <w:rFonts w:ascii="Arial" w:hAnsi="Arial" w:eastAsia="等线"/>
        </w:rPr>
        <w:t>；Context 状态规模需与模型结构及递归状态共同理解。</w:t>
      </w:r>
    </w:p>
    <w:p>
      <w:r>
        <w:br w:type="page"/>
      </w:r>
    </w:p>
    <w:p>
      <w:pPr>
        <w:pStyle w:val="Title"/>
      </w:pPr>
      <w:r>
        <w:rPr>
          <w:rFonts w:ascii="Arial" w:hAnsi="Arial" w:eastAsia="等线"/>
        </w:rPr>
        <w:t>六、进程 Peak RSS 统一对比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Peak RSS 是进程生命周期内的内存高水位，包含模型加载、计算缓冲、KV Cache 与其他运行状态。下图在同一画布中分别比较 Prefill 和 Decode。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peak_r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4：LFM2.5、Qwen3 与 Qwen3.5 系列 Prefill/Decode Peak RSS 统一对比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32K 档位，Prefill Peak RSS 为 LFM2.5-8B-A1B </w:t>
      </w:r>
      <w:r>
        <w:rPr>
          <w:rFonts w:ascii="Arial" w:hAnsi="Arial" w:eastAsia="等线"/>
          <w:b/>
        </w:rPr>
        <w:t>6160.18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10054.95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7252.77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2018.27</w:t>
      </w:r>
      <w:r>
        <w:rPr>
          <w:rFonts w:ascii="Arial" w:hAnsi="Arial" w:eastAsia="等线"/>
        </w:rPr>
        <w:t xml:space="preserve"> MiB；Decode Peak RSS 为 LFM2.5-8B-A1B </w:t>
      </w:r>
      <w:r>
        <w:rPr>
          <w:rFonts w:ascii="Arial" w:hAnsi="Arial" w:eastAsia="等线"/>
          <w:b/>
        </w:rPr>
        <w:t>5308.57</w:t>
      </w:r>
      <w:r>
        <w:rPr>
          <w:rFonts w:ascii="Arial" w:hAnsi="Arial" w:eastAsia="等线"/>
        </w:rPr>
        <w:t xml:space="preserve">、Qwen3-8B </w:t>
      </w:r>
      <w:r>
        <w:rPr>
          <w:rFonts w:ascii="Arial" w:hAnsi="Arial" w:eastAsia="等线"/>
          <w:b/>
        </w:rPr>
        <w:t>9045.38</w:t>
      </w:r>
      <w:r>
        <w:rPr>
          <w:rFonts w:ascii="Arial" w:hAnsi="Arial" w:eastAsia="等线"/>
        </w:rPr>
        <w:t xml:space="preserve">、Qwen3.5-9B </w:t>
      </w:r>
      <w:r>
        <w:rPr>
          <w:rFonts w:ascii="Arial" w:hAnsi="Arial" w:eastAsia="等线"/>
          <w:b/>
        </w:rPr>
        <w:t>6143.08</w:t>
      </w:r>
      <w:r>
        <w:rPr>
          <w:rFonts w:ascii="Arial" w:hAnsi="Arial" w:eastAsia="等线"/>
        </w:rPr>
        <w:t xml:space="preserve">、Qwen3.5-0.8B </w:t>
      </w:r>
      <w:r>
        <w:rPr>
          <w:rFonts w:ascii="Arial" w:hAnsi="Arial" w:eastAsia="等线"/>
          <w:b/>
        </w:rPr>
        <w:t>1192.35</w:t>
      </w:r>
      <w:r>
        <w:rPr>
          <w:rFonts w:ascii="Arial" w:hAnsi="Arial" w:eastAsia="等线"/>
        </w:rPr>
        <w:t xml:space="preserve"> MiB。Peak RSS 不等于 KV Cache 单项占用，两者不可直接互换。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32K Prefill Peak RSS 的观测范围为 </w:t>
      </w:r>
      <w:r>
        <w:rPr>
          <w:rFonts w:ascii="Arial" w:hAnsi="Arial" w:eastAsia="等线"/>
          <w:b/>
        </w:rPr>
        <w:t>2018.27-10054.95 MiB</w:t>
      </w:r>
      <w:r>
        <w:rPr>
          <w:rFonts w:ascii="Arial" w:hAnsi="Arial" w:eastAsia="等线"/>
        </w:rPr>
        <w:t xml:space="preserve">，32K Decode 为 </w:t>
      </w:r>
      <w:r>
        <w:rPr>
          <w:rFonts w:ascii="Arial" w:hAnsi="Arial" w:eastAsia="等线"/>
          <w:b/>
        </w:rPr>
        <w:t>1192.35-9045.38 MiB</w:t>
      </w:r>
      <w:r>
        <w:rPr>
          <w:rFonts w:ascii="Arial" w:hAnsi="Arial" w:eastAsia="等线"/>
        </w:rPr>
        <w:t>；结果反映各配置在本次运行批次中的进程内存高水位。</w:t>
      </w:r>
    </w:p>
    <w:p>
      <w:r>
        <w:br w:type="page"/>
      </w:r>
    </w:p>
    <w:p>
      <w:pPr>
        <w:pStyle w:val="Title"/>
      </w:pPr>
      <w:r>
        <w:rPr>
          <w:rFonts w:ascii="Arial" w:hAnsi="Arial" w:eastAsia="等线"/>
        </w:rPr>
        <w:t>七、综合结论与适用范围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综合四配置的 Prefill、长文本连续生成、Attention KV Cache 与 Peak RSS 结果，所有配置均形成 1K-32K 完整记录。统一图表显示，随着处理或生成长度增加，各配置均出现吞吐下降，同时 Attention KV Cache 持续增长；32K Prefill 吞吐范围为 </w:t>
      </w:r>
      <w:r>
        <w:rPr>
          <w:rFonts w:ascii="Arial" w:hAnsi="Arial" w:eastAsia="等线"/>
          <w:b/>
        </w:rPr>
        <w:t>2.94-50.61 tokens/s</w:t>
      </w:r>
      <w:r>
        <w:rPr>
          <w:rFonts w:ascii="Arial" w:hAnsi="Arial" w:eastAsia="等线"/>
        </w:rPr>
        <w:t xml:space="preserve">，32K Decode 范围为 </w:t>
      </w:r>
      <w:r>
        <w:rPr>
          <w:rFonts w:ascii="Arial" w:hAnsi="Arial" w:eastAsia="等线"/>
          <w:b/>
        </w:rPr>
        <w:t>0.73-21.12 tokens/s</w:t>
      </w:r>
      <w:r>
        <w:rPr>
          <w:rFonts w:ascii="Arial" w:hAnsi="Arial" w:eastAsia="等线"/>
        </w:rPr>
        <w:t xml:space="preserve">，32K Attention KV Cache 范围为 </w:t>
      </w:r>
      <w:r>
        <w:rPr>
          <w:rFonts w:ascii="Arial" w:hAnsi="Arial" w:eastAsia="等线"/>
          <w:b/>
        </w:rPr>
        <w:t>387-4644 MiB</w:t>
      </w:r>
      <w:r>
        <w:rPr>
          <w:rFonts w:ascii="Arial" w:hAnsi="Arial" w:eastAsia="等线"/>
        </w:rPr>
        <w:t>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适用条件：</w:t>
      </w:r>
      <w:r>
        <w:rPr>
          <w:rFonts w:ascii="Arial" w:hAnsi="Arial" w:eastAsia="等线"/>
        </w:rPr>
        <w:t>结果基于 OnePlus PLK110、Qualcomm SM8850、Android 16、6 CPU 线程、Q4_0、关闭 Flash Attention 和单次运行统计。模型参数规模、架构和运行批次不同，本文仅比较实测绝对值与随长度变化的趋势，不计算跨模型提升率或严格排名。</w:t>
      </w:r>
    </w:p>
    <w:sectPr w:rsidR="00FC693F" w:rsidRPr="0006063C" w:rsidSect="00034616">
      <w:footerReference w:type="default" r:id="rId13"/>
      <w:pgSz w:w="11906" w:h="16838"/>
      <w:pgMar w:top="1440" w:right="1440" w:bottom="1440" w:left="144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等线"/>
        <w:color w:val="8F959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suff w:val="tab"/>
      <w:lvlText w:val="•"/>
      <w:lvlJc w:val="left"/>
      <w:pPr>
        <w:tabs>
          <w:tab w:val="num" w:pos="720"/>
        </w:tabs>
      </w:pPr>
      <w:rPr>
        <w:color w:val="3370FF"/>
      </w:r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before="120" w:after="120"/>
      <w:jc w:val="both"/>
    </w:pPr>
    <w:rPr>
      <w:rFonts w:ascii="Arial" w:hAnsi="Arial" w:eastAsia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40" w:line="288" w:lineRule="auto"/>
      <w:jc w:val="both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88" w:lineRule="auto"/>
      <w:jc w:val="both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 w:line="288" w:lineRule="auto"/>
      <w:jc w:val="both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80" w:line="288" w:lineRule="auto" w:before="480"/>
      <w:contextualSpacing/>
      <w:jc w:val="both"/>
    </w:pPr>
    <w:rPr>
      <w:rFonts w:asciiTheme="majorHAnsi" w:eastAsiaTheme="majorEastAsia" w:hAnsiTheme="majorHAnsi" w:cstheme="majorBidi" w:ascii="Arial" w:hAnsi="Arial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20" w:after="120" w:line="288" w:lineRule="auto"/>
      <w:jc w:val="center"/>
    </w:pPr>
    <w:rPr>
      <w:rFonts w:ascii="Arial" w:hAnsi="Arial" w:eastAsia="等线"/>
      <w:color w:val="8F959E"/>
      <w:sz w:val="18"/>
    </w:rPr>
  </w:style>
  <w:style w:type="paragraph" w:customStyle="1" w:styleId="CustomerBullet">
    <w:name w:val="Customer Bullet"/>
    <w:basedOn w:val="Normal"/>
    <w:pPr>
      <w:spacing w:before="120" w:after="120" w:line="288" w:lineRule="auto"/>
      <w:ind w:left="0"/>
      <w:jc w:val="both"/>
    </w:pPr>
    <w:rPr>
      <w:rFonts w:ascii="Arial" w:hAnsi="Arial" w:eastAsia="等线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LFM2.5-8B-A1B、Qwen3-8B 与 Qwen3.5 系列 Q4_0 端侧 CPU 性能与资源占用对比报告（OnePlus PLK110）</dc:title>
  <dc:subject>模型能力与端侧部署评测</dc:subject>
  <dc:creator>LuxiLLM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