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Economics - Agent Knowledge and Feature Summary</w:t>
      </w:r>
    </w:p>
    <w:p>
      <w:r>
        <w:t>CLAUDE.md is a project-level general specification that is loaded in full at the start of every session — a fixed overhead. In other words, at the beginning of each session, tools such as Claude Code/Codex need to scan and read CLAUDE.md, which consumes tokens (fixed overhead).</w:t>
      </w:r>
    </w:p>
    <w:p>
      <w:r>
        <w:t>If there is no CLAUDE.md file, Claude Code and Codex will scan all files in the folder every time, increasing token consumption (increased token consumption).</w:t>
      </w:r>
    </w:p>
    <w:p>
      <w:r>
        <w:t>Skills are activated on demand — that is, tokens are only consumed when Skills are actually used (pay-as-you-go).</w:t>
      </w:r>
    </w:p>
    <w:p>
      <w:r>
        <w:t>Skills can save tokens because they adopt a progressive-disclosure approach, enabling on-demand access to massive amounts of knowledge at an extremely low token cost (progressive disclosure).</w:t>
      </w:r>
    </w:p>
    <w:p>
      <w:r>
        <w:t>The total budget for descriptions is capped at 2% of the context window size; if unspecified or if the calculation is abnormal, it defaults to 16,000 characters. (Each character in a description is regarded as an expensive “token investment” and must be invested precisely.)</w:t>
      </w:r>
    </w:p>
    <w:p>
      <w:r>
        <w:t>This budget is divided equally among all installed Skills, rather than allocated on demand. The calculation formula is as follows.</w:t>
      </w:r>
    </w:p>
    <w:p>
      <w:r>
        <w:t>Available characters per Skill = total budget / total number of Skills.</w:t>
      </w:r>
    </w:p>
    <w:p>
      <w:r>
        <w:t>Reference-type Skills increase token consumption. Claude determines through semantic matching whether such a Skill is needed. (Whether a reference-type Skill is used is decided by Claude's semantic judgment, whereas whether a task-type Skill is used is decided by the user, thereby eliminating an intermediate step of Claude's deliberation and reducing token consumption.)</w:t>
      </w:r>
    </w:p>
    <w:p>
      <w:r>
        <w:t>The design philosophy of SKILL.md should define it as a router. The core technique of routing design lies in building a “quick reference” table. This table can clearly guide Claude on routing conditions across five key dimensions at an extremely low token cost (roughly three lines costing only about 50 tokens). (Guiding multi-dimensional routing conditions at extremely low token cost.)</w:t>
      </w:r>
    </w:p>
    <w:p>
      <w:r>
        <w:t>Team-type sub-agents have higher operating overhead — a long-term maintained context window means continuous token consumption. Therefore, this model is cost-effective only in scenarios where collaborative responsibility is genuinely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