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394A9">
      <w:pPr>
        <w:spacing w:before="480" w:after="480" w:line="360" w:lineRule="auto"/>
        <w:ind w:left="0"/>
        <w:rPr>
          <w:rFonts w:hint="default" w:ascii="Times New Roman" w:hAnsi="Times New Roman" w:eastAsia="宋体" w:cs="Times New Roman"/>
          <w:sz w:val="24"/>
          <w:szCs w:val="24"/>
        </w:rPr>
      </w:pPr>
      <w:r>
        <w:rPr>
          <w:rFonts w:hint="default" w:ascii="Times New Roman" w:hAnsi="Times New Roman" w:eastAsia="宋体" w:cs="Times New Roman"/>
          <w:b/>
          <w:sz w:val="24"/>
          <w:szCs w:val="24"/>
        </w:rPr>
        <w:t>预测模型的偏倚风险及PROBAST评估工具</w:t>
      </w:r>
    </w:p>
    <w:p w14:paraId="42E8D854">
      <w:pPr>
        <w:spacing w:before="380" w:after="140" w:line="360" w:lineRule="auto"/>
        <w:ind w:left="0"/>
        <w:jc w:val="left"/>
        <w:outlineLvl w:val="0"/>
        <w:rPr>
          <w:rFonts w:hint="default" w:ascii="Times New Roman" w:hAnsi="Times New Roman" w:eastAsia="宋体" w:cs="Times New Roman"/>
          <w:sz w:val="24"/>
          <w:szCs w:val="24"/>
        </w:rPr>
      </w:pPr>
      <w:bookmarkStart w:id="0" w:name="heading_0"/>
      <w:r>
        <w:rPr>
          <w:rFonts w:hint="default" w:ascii="Times New Roman" w:hAnsi="Times New Roman" w:eastAsia="宋体" w:cs="Times New Roman"/>
          <w:b/>
          <w:sz w:val="24"/>
          <w:szCs w:val="24"/>
        </w:rPr>
        <w:t>一、引言</w:t>
      </w:r>
      <w:bookmarkEnd w:id="0"/>
    </w:p>
    <w:p w14:paraId="6B210E57">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医疗卫生领域，预测模型通过整合多个预测因子，用于估算个体现有疾病状态（诊断模型）或未来疾病发生风险（预后模型），为临床决策、指南制定和政策规划提供重要依据。近年来，预测模型研究数量激增，但不同研究的方法学质量参差不齐，潜在的偏倚风险可能导致模型预测性能被扭曲，影响其临床应用价值。</w:t>
      </w:r>
    </w:p>
    <w:p w14:paraId="28558775">
      <w:pPr>
        <w:spacing w:before="120" w:after="120" w:line="360" w:lineRule="auto"/>
        <w:ind w:left="0"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为解决预测模型研究偏倚风险评估的标准化问题，2019年荷兰乌得勒支大学Moons教授牵头的国际团队开发了预测模型风险偏倚评估工具（PROBAST）。该工具经多轮德尔菲法和预实验验证，专门针对多因素诊断或预后预测模型的开发、验证及更新研究，提供系统的偏倚风险和适用性评估框架，已成为该领域的核心评估工具。</w:t>
      </w:r>
      <w:r>
        <w:rPr>
          <w:rFonts w:hint="default" w:ascii="Times New Roman" w:hAnsi="Times New Roman" w:eastAsia="宋体" w:cs="Times New Roman"/>
          <w:sz w:val="24"/>
          <w:szCs w:val="24"/>
          <w:lang w:val="en-US" w:eastAsia="zh-CN"/>
        </w:rPr>
        <w:t>在官网上我们可以找到使用说明的文献。</w:t>
      </w:r>
    </w:p>
    <w:p w14:paraId="3186276C">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826000" cy="2713990"/>
            <wp:effectExtent l="0" t="0" r="5080" b="13970"/>
            <wp:docPr id="3" name="图片 2" descr="偏倚评价及报告规范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偏倚评价及报告规范_03"/>
                    <pic:cNvPicPr>
                      <a:picLocks noChangeAspect="1"/>
                    </pic:cNvPicPr>
                  </pic:nvPicPr>
                  <pic:blipFill>
                    <a:blip r:embed="rId6"/>
                    <a:stretch>
                      <a:fillRect/>
                    </a:stretch>
                  </pic:blipFill>
                  <pic:spPr>
                    <a:xfrm>
                      <a:off x="0" y="0"/>
                      <a:ext cx="4826000" cy="2713990"/>
                    </a:xfrm>
                    <a:prstGeom prst="rect">
                      <a:avLst/>
                    </a:prstGeom>
                  </pic:spPr>
                </pic:pic>
              </a:graphicData>
            </a:graphic>
          </wp:inline>
        </w:drawing>
      </w:r>
    </w:p>
    <w:p w14:paraId="6131C4D3">
      <w:pPr>
        <w:spacing w:before="380" w:after="140" w:line="360" w:lineRule="auto"/>
        <w:ind w:left="0"/>
        <w:jc w:val="left"/>
        <w:outlineLvl w:val="0"/>
        <w:rPr>
          <w:rFonts w:hint="default" w:ascii="Times New Roman" w:hAnsi="Times New Roman" w:eastAsia="宋体" w:cs="Times New Roman"/>
          <w:sz w:val="24"/>
          <w:szCs w:val="24"/>
        </w:rPr>
      </w:pPr>
      <w:bookmarkStart w:id="1" w:name="heading_1"/>
      <w:r>
        <w:rPr>
          <w:rFonts w:hint="default" w:ascii="Times New Roman" w:hAnsi="Times New Roman" w:eastAsia="宋体" w:cs="Times New Roman"/>
          <w:b/>
          <w:sz w:val="24"/>
          <w:szCs w:val="24"/>
        </w:rPr>
        <w:t>二、</w:t>
      </w:r>
      <w:bookmarkEnd w:id="1"/>
      <w:bookmarkStart w:id="2" w:name="heading_5"/>
      <w:r>
        <w:rPr>
          <w:rFonts w:hint="default" w:ascii="Times New Roman" w:hAnsi="Times New Roman" w:eastAsia="宋体" w:cs="Times New Roman"/>
          <w:b/>
          <w:sz w:val="24"/>
          <w:szCs w:val="24"/>
        </w:rPr>
        <w:t>PROBAST评估工具核心内容</w:t>
      </w:r>
      <w:bookmarkEnd w:id="2"/>
    </w:p>
    <w:p w14:paraId="3035472B">
      <w:pPr>
        <w:spacing w:before="320" w:after="120" w:line="360" w:lineRule="auto"/>
        <w:ind w:left="0"/>
        <w:jc w:val="left"/>
        <w:outlineLvl w:val="1"/>
        <w:rPr>
          <w:rFonts w:hint="default" w:ascii="Times New Roman" w:hAnsi="Times New Roman" w:eastAsia="宋体" w:cs="Times New Roman"/>
          <w:sz w:val="24"/>
          <w:szCs w:val="24"/>
          <w:highlight w:val="green"/>
        </w:rPr>
      </w:pPr>
      <w:bookmarkStart w:id="3" w:name="heading_8"/>
      <w:r>
        <w:rPr>
          <w:rFonts w:hint="default" w:ascii="Times New Roman" w:hAnsi="Times New Roman" w:eastAsia="宋体" w:cs="Times New Roman"/>
          <w:b/>
          <w:sz w:val="24"/>
          <w:szCs w:val="24"/>
          <w:highlight w:val="green"/>
        </w:rPr>
        <w:t>四步评估流程</w:t>
      </w:r>
      <w:bookmarkEnd w:id="3"/>
    </w:p>
    <w:p w14:paraId="1BE3FA65">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PROBAST评估需严格遵循四步流程，不同步骤的评估频率不同，具体如下：</w:t>
      </w:r>
    </w:p>
    <w:p w14:paraId="624EF119">
      <w:pPr>
        <w:spacing w:before="320" w:after="120" w:line="360" w:lineRule="auto"/>
        <w:ind w:left="0"/>
        <w:jc w:val="left"/>
        <w:outlineLvl w:val="1"/>
      </w:pPr>
      <w:bookmarkStart w:id="4" w:name="heading_11"/>
      <w:r>
        <w:drawing>
          <wp:inline distT="0" distB="0" distL="114300" distR="114300">
            <wp:extent cx="4641215" cy="3176905"/>
            <wp:effectExtent l="0" t="0" r="698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641215" cy="3176905"/>
                    </a:xfrm>
                    <a:prstGeom prst="rect">
                      <a:avLst/>
                    </a:prstGeom>
                    <a:noFill/>
                    <a:ln>
                      <a:noFill/>
                    </a:ln>
                  </pic:spPr>
                </pic:pic>
              </a:graphicData>
            </a:graphic>
          </wp:inline>
        </w:drawing>
      </w:r>
    </w:p>
    <w:p w14:paraId="0ECF55BA">
      <w:pPr>
        <w:spacing w:before="320" w:after="120" w:line="360" w:lineRule="auto"/>
        <w:ind w:left="0"/>
        <w:jc w:val="left"/>
        <w:outlineLvl w:val="1"/>
        <w:rPr>
          <w:rFonts w:hint="default" w:ascii="Times New Roman" w:hAnsi="Times New Roman" w:eastAsia="宋体" w:cs="Times New Roman"/>
          <w:b/>
          <w:bCs w:val="0"/>
          <w:sz w:val="24"/>
          <w:szCs w:val="24"/>
          <w:highlight w:val="green"/>
        </w:rPr>
      </w:pPr>
      <w:r>
        <w:rPr>
          <w:rFonts w:hint="default" w:ascii="Times New Roman" w:hAnsi="Times New Roman" w:eastAsia="宋体" w:cs="Times New Roman"/>
          <w:b/>
          <w:bCs w:val="0"/>
          <w:sz w:val="24"/>
          <w:szCs w:val="24"/>
          <w:highlight w:val="green"/>
        </w:rPr>
        <w:t xml:space="preserve"> 四大核心领域评估细则</w:t>
      </w:r>
      <w:bookmarkEnd w:id="4"/>
    </w:p>
    <w:p w14:paraId="1E8B9A83">
      <w:pPr>
        <w:spacing w:before="120" w:after="120" w:line="480" w:lineRule="auto"/>
        <w:ind w:left="0" w:firstLine="480" w:firstLineChars="200"/>
        <w:jc w:val="left"/>
        <w:rPr>
          <w:rFonts w:hint="default" w:ascii="Times New Roman" w:hAnsi="Times New Roman" w:eastAsia="宋体" w:cs="Times New Roman"/>
          <w:b/>
          <w:bCs w:val="0"/>
          <w:sz w:val="24"/>
          <w:szCs w:val="24"/>
          <w:highlight w:val="green"/>
        </w:rPr>
      </w:pPr>
      <w:r>
        <w:rPr>
          <w:rFonts w:hint="eastAsia" w:ascii="宋体" w:hAnsi="宋体" w:eastAsia="宋体" w:cs="宋体"/>
          <w:sz w:val="24"/>
          <w:szCs w:val="24"/>
        </w:rPr>
        <w:t>PROBAST工具将预测模型研究的潜在偏倚分为4个核心领域，分别是</w:t>
      </w:r>
      <w:r>
        <w:rPr>
          <w:rFonts w:hint="eastAsia" w:ascii="宋体" w:hAnsi="宋体" w:eastAsia="宋体" w:cs="宋体"/>
          <w:b/>
          <w:bCs/>
          <w:sz w:val="24"/>
          <w:szCs w:val="24"/>
        </w:rPr>
        <w:t>研究对象、预测因素、结局和分析</w:t>
      </w:r>
      <w:r>
        <w:rPr>
          <w:rFonts w:hint="eastAsia" w:ascii="宋体" w:hAnsi="宋体" w:eastAsia="宋体" w:cs="宋体"/>
          <w:sz w:val="24"/>
          <w:szCs w:val="24"/>
        </w:rPr>
        <w:t>。这4个领域对应的问题数量依次为2个、3个、6个和9个，共20个问题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如图</w:t>
      </w:r>
      <w:r>
        <w:rPr>
          <w:rFonts w:hint="eastAsia" w:ascii="宋体" w:hAnsi="宋体" w:eastAsia="宋体" w:cs="宋体"/>
          <w:sz w:val="24"/>
          <w:szCs w:val="24"/>
        </w:rPr>
        <w:t>。</w:t>
      </w:r>
      <w:r>
        <w:drawing>
          <wp:inline distT="0" distB="0" distL="114300" distR="114300">
            <wp:extent cx="6425565" cy="3613150"/>
            <wp:effectExtent l="0" t="0" r="5715" b="13970"/>
            <wp:docPr id="4" name="图片 3" descr="偏倚评价及报告规范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偏倚评价及报告规范_06"/>
                    <pic:cNvPicPr>
                      <a:picLocks noChangeAspect="1"/>
                    </pic:cNvPicPr>
                  </pic:nvPicPr>
                  <pic:blipFill>
                    <a:blip r:embed="rId8"/>
                    <a:stretch>
                      <a:fillRect/>
                    </a:stretch>
                  </pic:blipFill>
                  <pic:spPr>
                    <a:xfrm>
                      <a:off x="0" y="0"/>
                      <a:ext cx="6425565" cy="3613150"/>
                    </a:xfrm>
                    <a:prstGeom prst="rect">
                      <a:avLst/>
                    </a:prstGeom>
                  </pic:spPr>
                </pic:pic>
              </a:graphicData>
            </a:graphic>
          </wp:inline>
        </w:drawing>
      </w:r>
    </w:p>
    <w:p w14:paraId="00F3B7AF">
      <w:pPr>
        <w:spacing w:before="120" w:after="120" w:line="360" w:lineRule="auto"/>
        <w:ind w:left="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个领域通过“信号问题”辅助判断，信号问题回答选项为“是（Y）/可能是（PY）/可能否（PN）/否（N）/缺少信息（NI）”。“是/可能是”提示低偏倚风险，“否/可能否”提示高偏倚风险，“缺少信息”需结合其他问题综合判断。</w:t>
      </w:r>
    </w:p>
    <w:p w14:paraId="3605C694">
      <w:pPr>
        <w:spacing w:before="300" w:after="120" w:line="360" w:lineRule="auto"/>
        <w:ind w:left="0"/>
        <w:jc w:val="left"/>
        <w:outlineLvl w:val="2"/>
        <w:rPr>
          <w:rFonts w:hint="default" w:ascii="Times New Roman" w:hAnsi="Times New Roman" w:eastAsia="宋体" w:cs="Times New Roman"/>
          <w:sz w:val="24"/>
          <w:szCs w:val="24"/>
        </w:rPr>
      </w:pPr>
      <w:bookmarkStart w:id="5" w:name="heading_12"/>
      <w:r>
        <w:rPr>
          <w:rFonts w:hint="default" w:ascii="Times New Roman" w:hAnsi="Times New Roman" w:eastAsia="宋体" w:cs="Times New Roman"/>
          <w:b/>
          <w:sz w:val="24"/>
          <w:szCs w:val="24"/>
        </w:rPr>
        <w:t>领域1：研究对象（偏倚风险+适用性）</w:t>
      </w:r>
      <w:bookmarkEnd w:id="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C214B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101275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评估维度</w:t>
            </w:r>
          </w:p>
        </w:tc>
        <w:tc>
          <w:tcPr>
            <w:tcW w:w="0" w:type="dxa"/>
            <w:tcMar>
              <w:top w:w="60" w:type="dxa"/>
              <w:left w:w="120" w:type="dxa"/>
              <w:bottom w:w="30" w:type="dxa"/>
              <w:right w:w="120" w:type="dxa"/>
            </w:tcMar>
          </w:tcPr>
          <w:p w14:paraId="7295D91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信号问题</w:t>
            </w:r>
          </w:p>
        </w:tc>
        <w:tc>
          <w:tcPr>
            <w:tcW w:w="0" w:type="dxa"/>
            <w:tcMar>
              <w:top w:w="60" w:type="dxa"/>
              <w:left w:w="120" w:type="dxa"/>
              <w:bottom w:w="30" w:type="dxa"/>
              <w:right w:w="120" w:type="dxa"/>
            </w:tcMar>
          </w:tcPr>
          <w:p w14:paraId="78E987BB">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判断依据</w:t>
            </w:r>
          </w:p>
        </w:tc>
      </w:tr>
      <w:tr w14:paraId="4E55014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02DFFA11">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偏倚风险</w:t>
            </w:r>
          </w:p>
        </w:tc>
        <w:tc>
          <w:tcPr>
            <w:tcW w:w="0" w:type="dxa"/>
            <w:tcMar>
              <w:top w:w="60" w:type="dxa"/>
              <w:left w:w="120" w:type="dxa"/>
              <w:bottom w:w="30" w:type="dxa"/>
              <w:right w:w="120" w:type="dxa"/>
            </w:tcMar>
          </w:tcPr>
          <w:p w14:paraId="5C2CAFD8">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 是否使用恰当数据来源（如队列、RCT、巢式病例对照）？</w:t>
            </w:r>
          </w:p>
        </w:tc>
        <w:tc>
          <w:tcPr>
            <w:tcW w:w="0" w:type="dxa"/>
            <w:tcMar>
              <w:top w:w="60" w:type="dxa"/>
              <w:left w:w="120" w:type="dxa"/>
              <w:bottom w:w="30" w:type="dxa"/>
              <w:right w:w="120" w:type="dxa"/>
            </w:tcMar>
          </w:tcPr>
          <w:p w14:paraId="7773CCB2">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Y/PY：队列/RCT/巢式病例对照；N/PN：非巢式病例对照；NI：数据来源描述不清</w:t>
            </w:r>
          </w:p>
        </w:tc>
      </w:tr>
      <w:tr w14:paraId="07769D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2B757C19">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3684734B">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 研究对象纳入排除标准是否恰当？</w:t>
            </w:r>
          </w:p>
        </w:tc>
        <w:tc>
          <w:tcPr>
            <w:tcW w:w="0" w:type="dxa"/>
            <w:tcMar>
              <w:top w:w="60" w:type="dxa"/>
              <w:left w:w="120" w:type="dxa"/>
              <w:bottom w:w="30" w:type="dxa"/>
              <w:right w:w="120" w:type="dxa"/>
            </w:tcMar>
          </w:tcPr>
          <w:p w14:paraId="46577271">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Y/PY：标准明确且代表目标人群；N/PN：纳入已发生结局者或排除关键亚组；NI：标准未说明</w:t>
            </w:r>
          </w:p>
        </w:tc>
      </w:tr>
      <w:tr w14:paraId="2ACDF8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3C86204F">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适用性</w:t>
            </w:r>
          </w:p>
        </w:tc>
        <w:tc>
          <w:tcPr>
            <w:tcW w:w="0" w:type="dxa"/>
            <w:tcMar>
              <w:top w:w="60" w:type="dxa"/>
              <w:left w:w="120" w:type="dxa"/>
              <w:bottom w:w="30" w:type="dxa"/>
              <w:right w:w="120" w:type="dxa"/>
            </w:tcMar>
          </w:tcPr>
          <w:p w14:paraId="61CDADE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研究对象与系统综述的人群/场所是否匹配？</w:t>
            </w:r>
          </w:p>
        </w:tc>
        <w:tc>
          <w:tcPr>
            <w:tcW w:w="0" w:type="dxa"/>
            <w:tcMar>
              <w:top w:w="60" w:type="dxa"/>
              <w:left w:w="120" w:type="dxa"/>
              <w:bottom w:w="30" w:type="dxa"/>
              <w:right w:w="120" w:type="dxa"/>
            </w:tcMar>
          </w:tcPr>
          <w:p w14:paraId="59BA737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低关切：完全匹配；高关切：如医院人群vs社区人群；不清楚：匹配信息不足</w:t>
            </w:r>
          </w:p>
        </w:tc>
      </w:tr>
    </w:tbl>
    <w:p w14:paraId="43C29747">
      <w:pPr>
        <w:spacing w:before="300" w:after="120" w:line="360" w:lineRule="auto"/>
        <w:ind w:left="0"/>
        <w:jc w:val="left"/>
        <w:outlineLvl w:val="2"/>
        <w:rPr>
          <w:rFonts w:hint="default" w:ascii="Times New Roman" w:hAnsi="Times New Roman" w:eastAsia="宋体" w:cs="Times New Roman"/>
          <w:sz w:val="24"/>
          <w:szCs w:val="24"/>
        </w:rPr>
      </w:pPr>
      <w:bookmarkStart w:id="6" w:name="heading_13"/>
      <w:r>
        <w:rPr>
          <w:rFonts w:hint="default" w:ascii="Times New Roman" w:hAnsi="Times New Roman" w:eastAsia="宋体" w:cs="Times New Roman"/>
          <w:b/>
          <w:sz w:val="24"/>
          <w:szCs w:val="24"/>
        </w:rPr>
        <w:t>领域2：预测因子（偏倚风险+适用性）</w:t>
      </w:r>
      <w:bookmarkEnd w:id="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58954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03FDF7B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评估维度</w:t>
            </w:r>
          </w:p>
        </w:tc>
        <w:tc>
          <w:tcPr>
            <w:tcW w:w="0" w:type="dxa"/>
            <w:tcMar>
              <w:top w:w="60" w:type="dxa"/>
              <w:left w:w="120" w:type="dxa"/>
              <w:bottom w:w="30" w:type="dxa"/>
              <w:right w:w="120" w:type="dxa"/>
            </w:tcMar>
          </w:tcPr>
          <w:p w14:paraId="415FD194">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信号问题</w:t>
            </w:r>
          </w:p>
        </w:tc>
        <w:tc>
          <w:tcPr>
            <w:tcW w:w="0" w:type="dxa"/>
            <w:tcMar>
              <w:top w:w="60" w:type="dxa"/>
              <w:left w:w="120" w:type="dxa"/>
              <w:bottom w:w="30" w:type="dxa"/>
              <w:right w:w="120" w:type="dxa"/>
            </w:tcMar>
          </w:tcPr>
          <w:p w14:paraId="790E3EDF">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判断依据</w:t>
            </w:r>
          </w:p>
        </w:tc>
      </w:tr>
      <w:tr w14:paraId="6D6D25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7BE5AF9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偏倚风险</w:t>
            </w:r>
          </w:p>
        </w:tc>
        <w:tc>
          <w:tcPr>
            <w:tcW w:w="0" w:type="dxa"/>
            <w:tcMar>
              <w:top w:w="60" w:type="dxa"/>
              <w:left w:w="120" w:type="dxa"/>
              <w:bottom w:w="30" w:type="dxa"/>
              <w:right w:w="120" w:type="dxa"/>
            </w:tcMar>
          </w:tcPr>
          <w:p w14:paraId="41891B6F">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2.1 所有研究对象的预测因子定义与测量是否一致？</w:t>
            </w:r>
          </w:p>
        </w:tc>
        <w:tc>
          <w:tcPr>
            <w:tcW w:w="0" w:type="dxa"/>
            <w:tcMar>
              <w:top w:w="60" w:type="dxa"/>
              <w:left w:w="120" w:type="dxa"/>
              <w:bottom w:w="30" w:type="dxa"/>
              <w:right w:w="120" w:type="dxa"/>
            </w:tcMar>
          </w:tcPr>
          <w:p w14:paraId="256DDE24">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Y/PY：方法统一；N/PN：定义混乱或测量者经验差异大；NI：未说明测量方法</w:t>
            </w:r>
          </w:p>
        </w:tc>
      </w:tr>
      <w:tr w14:paraId="56F00A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26D1A7E2">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5B39B08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2.2 预测因子测量是否盲于结局数据？</w:t>
            </w:r>
          </w:p>
        </w:tc>
        <w:tc>
          <w:tcPr>
            <w:tcW w:w="0" w:type="dxa"/>
            <w:tcMar>
              <w:top w:w="60" w:type="dxa"/>
              <w:left w:w="120" w:type="dxa"/>
              <w:bottom w:w="30" w:type="dxa"/>
              <w:right w:w="120" w:type="dxa"/>
            </w:tcMar>
          </w:tcPr>
          <w:p w14:paraId="25C03BE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Y/PY：明确盲法或结局未发生时测量；N/PN：已知结局后测量；NI：未说明盲法</w:t>
            </w:r>
          </w:p>
        </w:tc>
      </w:tr>
      <w:tr w14:paraId="35D367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12F369F1">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4629EE06">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2.3 模型应用时，所有预测因子是否可及？</w:t>
            </w:r>
          </w:p>
        </w:tc>
        <w:tc>
          <w:tcPr>
            <w:tcW w:w="0" w:type="dxa"/>
            <w:tcMar>
              <w:top w:w="60" w:type="dxa"/>
              <w:left w:w="120" w:type="dxa"/>
              <w:bottom w:w="30" w:type="dxa"/>
              <w:right w:w="120" w:type="dxa"/>
            </w:tcMar>
          </w:tcPr>
          <w:p w14:paraId="7908055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Y/PY：应用时点可测量；N/PN：无法获取（如模型含术后指标却用于术前预测）；NI：未说明可及性</w:t>
            </w:r>
          </w:p>
        </w:tc>
      </w:tr>
      <w:tr w14:paraId="0FBACF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3AB9F3F">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适用性</w:t>
            </w:r>
          </w:p>
        </w:tc>
        <w:tc>
          <w:tcPr>
            <w:tcW w:w="0" w:type="dxa"/>
            <w:tcMar>
              <w:top w:w="60" w:type="dxa"/>
              <w:left w:w="120" w:type="dxa"/>
              <w:bottom w:w="30" w:type="dxa"/>
              <w:right w:w="120" w:type="dxa"/>
            </w:tcMar>
          </w:tcPr>
          <w:p w14:paraId="36DC6D4A">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预测因子的定义、测量或时间与系统综述是否匹配？</w:t>
            </w:r>
          </w:p>
        </w:tc>
        <w:tc>
          <w:tcPr>
            <w:tcW w:w="0" w:type="dxa"/>
            <w:tcMar>
              <w:top w:w="60" w:type="dxa"/>
              <w:left w:w="120" w:type="dxa"/>
              <w:bottom w:w="30" w:type="dxa"/>
              <w:right w:w="120" w:type="dxa"/>
            </w:tcMar>
          </w:tcPr>
          <w:p w14:paraId="75AEF4BE">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低关切：完全匹配；高关切：如血清指标vs尿液指标；不清楚：匹配信息不足</w:t>
            </w:r>
          </w:p>
        </w:tc>
      </w:tr>
    </w:tbl>
    <w:p w14:paraId="47EC32BD">
      <w:pPr>
        <w:spacing w:before="300" w:after="120" w:line="360" w:lineRule="auto"/>
        <w:ind w:left="0"/>
        <w:jc w:val="left"/>
        <w:outlineLvl w:val="2"/>
        <w:rPr>
          <w:rFonts w:hint="default" w:ascii="Times New Roman" w:hAnsi="Times New Roman" w:eastAsia="宋体" w:cs="Times New Roman"/>
          <w:sz w:val="24"/>
          <w:szCs w:val="24"/>
        </w:rPr>
      </w:pPr>
      <w:bookmarkStart w:id="7" w:name="heading_14"/>
      <w:r>
        <w:rPr>
          <w:rFonts w:hint="default" w:ascii="Times New Roman" w:hAnsi="Times New Roman" w:eastAsia="宋体" w:cs="Times New Roman"/>
          <w:b/>
          <w:sz w:val="24"/>
          <w:szCs w:val="24"/>
        </w:rPr>
        <w:t>领域3：临床结局（偏倚风险+适用性）</w:t>
      </w:r>
      <w:bookmarkEnd w:id="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091B88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406FD8E6">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评估维度</w:t>
            </w:r>
          </w:p>
        </w:tc>
        <w:tc>
          <w:tcPr>
            <w:tcW w:w="0" w:type="dxa"/>
            <w:tcMar>
              <w:top w:w="60" w:type="dxa"/>
              <w:left w:w="120" w:type="dxa"/>
              <w:bottom w:w="30" w:type="dxa"/>
              <w:right w:w="120" w:type="dxa"/>
            </w:tcMar>
          </w:tcPr>
          <w:p w14:paraId="5EEC8C18">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信号问题</w:t>
            </w:r>
          </w:p>
        </w:tc>
        <w:tc>
          <w:tcPr>
            <w:tcW w:w="0" w:type="dxa"/>
            <w:tcMar>
              <w:top w:w="60" w:type="dxa"/>
              <w:left w:w="120" w:type="dxa"/>
              <w:bottom w:w="30" w:type="dxa"/>
              <w:right w:w="120" w:type="dxa"/>
            </w:tcMar>
          </w:tcPr>
          <w:p w14:paraId="227A0E8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判断依据</w:t>
            </w:r>
          </w:p>
        </w:tc>
      </w:tr>
      <w:tr w14:paraId="7573AE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vMerge w:val="restart"/>
            <w:tcMar>
              <w:top w:w="60" w:type="dxa"/>
              <w:left w:w="120" w:type="dxa"/>
              <w:bottom w:w="30" w:type="dxa"/>
              <w:right w:w="120" w:type="dxa"/>
            </w:tcMar>
          </w:tcPr>
          <w:p w14:paraId="6858418C">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偏倚风险</w:t>
            </w:r>
          </w:p>
        </w:tc>
        <w:tc>
          <w:tcPr>
            <w:tcW w:w="0" w:type="dxa"/>
            <w:tcMar>
              <w:top w:w="60" w:type="dxa"/>
              <w:left w:w="120" w:type="dxa"/>
              <w:bottom w:w="30" w:type="dxa"/>
              <w:right w:w="120" w:type="dxa"/>
            </w:tcMar>
          </w:tcPr>
          <w:p w14:paraId="6C5D4199">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3.1 临床结局是否恰当判定？</w:t>
            </w:r>
          </w:p>
        </w:tc>
        <w:tc>
          <w:tcPr>
            <w:tcW w:w="0" w:type="dxa"/>
            <w:tcMar>
              <w:top w:w="60" w:type="dxa"/>
              <w:left w:w="120" w:type="dxa"/>
              <w:bottom w:w="30" w:type="dxa"/>
              <w:right w:w="120" w:type="dxa"/>
            </w:tcMar>
          </w:tcPr>
          <w:p w14:paraId="5C5B841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Y/PY：采用指南推荐方法；N/PN：方法存在缺陷；NI：未说明判定方法</w:t>
            </w:r>
          </w:p>
        </w:tc>
      </w:tr>
      <w:tr w14:paraId="720490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58A1D2AA">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62A771FB">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3.2 是否使用预先设定或标准的结局定义？</w:t>
            </w:r>
          </w:p>
        </w:tc>
        <w:tc>
          <w:tcPr>
            <w:tcW w:w="0" w:type="dxa"/>
            <w:tcMar>
              <w:top w:w="60" w:type="dxa"/>
              <w:left w:w="120" w:type="dxa"/>
              <w:bottom w:w="30" w:type="dxa"/>
              <w:right w:w="120" w:type="dxa"/>
            </w:tcMar>
          </w:tcPr>
          <w:p w14:paraId="7535E8C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Y/PY：定义标准且预先声明；N/PN：定义不标准或事后设定；NI：未说明定义来源</w:t>
            </w:r>
          </w:p>
        </w:tc>
      </w:tr>
      <w:tr w14:paraId="6B6939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4FCA11BB">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23BEC005">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3.3 预测因子是否从结局定义中排除？</w:t>
            </w:r>
          </w:p>
        </w:tc>
        <w:tc>
          <w:tcPr>
            <w:tcW w:w="0" w:type="dxa"/>
            <w:tcMar>
              <w:top w:w="60" w:type="dxa"/>
              <w:left w:w="120" w:type="dxa"/>
              <w:bottom w:w="30" w:type="dxa"/>
              <w:right w:w="120" w:type="dxa"/>
            </w:tcMar>
          </w:tcPr>
          <w:p w14:paraId="696440E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Y/PY：无预测因子纳入结局定义；N/PN：预测因子为结局组成部分；NI：未说明结局定义细节</w:t>
            </w:r>
          </w:p>
        </w:tc>
      </w:tr>
      <w:tr w14:paraId="20F589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21EFC7B1">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3C4E0DD7">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3.4 所有研究对象的结局定义与判定是否一致？</w:t>
            </w:r>
          </w:p>
        </w:tc>
        <w:tc>
          <w:tcPr>
            <w:tcW w:w="0" w:type="dxa"/>
            <w:tcMar>
              <w:top w:w="60" w:type="dxa"/>
              <w:left w:w="120" w:type="dxa"/>
              <w:bottom w:w="30" w:type="dxa"/>
              <w:right w:w="120" w:type="dxa"/>
            </w:tcMar>
          </w:tcPr>
          <w:p w14:paraId="4E91E901">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Y/PY：方法统一；N/PN：部分对象方法不同；NI：未说明一致性</w:t>
            </w:r>
          </w:p>
        </w:tc>
      </w:tr>
      <w:tr w14:paraId="55C61B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5B9D1573">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4545274C">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3.5 结局判定是否盲于预测因子信息？</w:t>
            </w:r>
          </w:p>
        </w:tc>
        <w:tc>
          <w:tcPr>
            <w:tcW w:w="0" w:type="dxa"/>
            <w:tcMar>
              <w:top w:w="60" w:type="dxa"/>
              <w:left w:w="120" w:type="dxa"/>
              <w:bottom w:w="30" w:type="dxa"/>
              <w:right w:w="120" w:type="dxa"/>
            </w:tcMar>
          </w:tcPr>
          <w:p w14:paraId="64418A48">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Y/PY：明确盲法或判定时未知预测因子；N/PN：已知预测因子后判定；NI：未说明盲法</w:t>
            </w:r>
          </w:p>
        </w:tc>
      </w:tr>
      <w:tr w14:paraId="4332C7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vMerge w:val="continue"/>
            <w:tcMar>
              <w:top w:w="60" w:type="dxa"/>
              <w:left w:w="120" w:type="dxa"/>
              <w:bottom w:w="30" w:type="dxa"/>
              <w:right w:w="120" w:type="dxa"/>
            </w:tcMar>
          </w:tcPr>
          <w:p w14:paraId="2D01A5E0">
            <w:pPr>
              <w:spacing w:before="120" w:after="120" w:line="360" w:lineRule="auto"/>
              <w:ind w:left="0"/>
              <w:jc w:val="left"/>
              <w:rPr>
                <w:rFonts w:hint="default" w:ascii="Times New Roman" w:hAnsi="Times New Roman" w:eastAsia="宋体" w:cs="Times New Roman"/>
                <w:sz w:val="24"/>
                <w:szCs w:val="24"/>
              </w:rPr>
            </w:pPr>
          </w:p>
        </w:tc>
        <w:tc>
          <w:tcPr>
            <w:tcW w:w="0" w:type="dxa"/>
            <w:tcMar>
              <w:top w:w="60" w:type="dxa"/>
              <w:left w:w="120" w:type="dxa"/>
              <w:bottom w:w="30" w:type="dxa"/>
              <w:right w:w="120" w:type="dxa"/>
            </w:tcMar>
          </w:tcPr>
          <w:p w14:paraId="60028D9B">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3.6 预测因子测量与结局判定的时间间隔是否恰当？</w:t>
            </w:r>
          </w:p>
        </w:tc>
        <w:tc>
          <w:tcPr>
            <w:tcW w:w="0" w:type="dxa"/>
            <w:tcMar>
              <w:top w:w="60" w:type="dxa"/>
              <w:left w:w="120" w:type="dxa"/>
              <w:bottom w:w="30" w:type="dxa"/>
              <w:right w:w="120" w:type="dxa"/>
            </w:tcMar>
          </w:tcPr>
          <w:p w14:paraId="0832BB18">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Y/PY：间隔合理（如预后模型随访足够时间）；N/PN：间隔过短/过长；NI：未说明时间间隔</w:t>
            </w:r>
          </w:p>
        </w:tc>
      </w:tr>
      <w:tr w14:paraId="39FBB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0" w:type="dxa"/>
            <w:tcMar>
              <w:top w:w="60" w:type="dxa"/>
              <w:left w:w="120" w:type="dxa"/>
              <w:bottom w:w="30" w:type="dxa"/>
              <w:right w:w="120" w:type="dxa"/>
            </w:tcMar>
          </w:tcPr>
          <w:p w14:paraId="2701BC12">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适用性</w:t>
            </w:r>
          </w:p>
        </w:tc>
        <w:tc>
          <w:tcPr>
            <w:tcW w:w="0" w:type="dxa"/>
            <w:tcMar>
              <w:top w:w="60" w:type="dxa"/>
              <w:left w:w="120" w:type="dxa"/>
              <w:bottom w:w="30" w:type="dxa"/>
              <w:right w:w="120" w:type="dxa"/>
            </w:tcMar>
          </w:tcPr>
          <w:p w14:paraId="5496DB0D">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结局的定义、时机或判定方法与系统综述是否匹配？</w:t>
            </w:r>
          </w:p>
        </w:tc>
        <w:tc>
          <w:tcPr>
            <w:tcW w:w="0" w:type="dxa"/>
            <w:tcMar>
              <w:top w:w="60" w:type="dxa"/>
              <w:left w:w="120" w:type="dxa"/>
              <w:bottom w:w="30" w:type="dxa"/>
              <w:right w:w="120" w:type="dxa"/>
            </w:tcMar>
          </w:tcPr>
          <w:p w14:paraId="62446075">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低关切：完全匹配；高关切：如短期结局vs长期结局；不清楚：匹配信息不足</w:t>
            </w:r>
          </w:p>
        </w:tc>
      </w:tr>
    </w:tbl>
    <w:p w14:paraId="5F35AE71">
      <w:pPr>
        <w:spacing w:before="300" w:after="120" w:line="360" w:lineRule="auto"/>
        <w:ind w:left="0"/>
        <w:jc w:val="left"/>
        <w:outlineLvl w:val="2"/>
        <w:rPr>
          <w:rFonts w:hint="default" w:ascii="Times New Roman" w:hAnsi="Times New Roman" w:eastAsia="宋体" w:cs="Times New Roman"/>
          <w:sz w:val="24"/>
          <w:szCs w:val="24"/>
        </w:rPr>
      </w:pPr>
      <w:bookmarkStart w:id="8" w:name="heading_15"/>
      <w:r>
        <w:rPr>
          <w:rFonts w:hint="default" w:ascii="Times New Roman" w:hAnsi="Times New Roman" w:eastAsia="宋体" w:cs="Times New Roman"/>
          <w:b/>
          <w:sz w:val="24"/>
          <w:szCs w:val="24"/>
        </w:rPr>
        <w:t>领域4：数据分析（仅偏倚风险）</w:t>
      </w:r>
      <w:bookmarkEnd w:id="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5091"/>
      </w:tblGrid>
      <w:tr w14:paraId="7CD69A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3D4D8E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信号问题</w:t>
            </w:r>
          </w:p>
        </w:tc>
        <w:tc>
          <w:tcPr>
            <w:tcW w:w="5091" w:type="dxa"/>
            <w:tcMar>
              <w:top w:w="60" w:type="dxa"/>
              <w:left w:w="120" w:type="dxa"/>
              <w:bottom w:w="30" w:type="dxa"/>
              <w:right w:w="120" w:type="dxa"/>
            </w:tcMar>
          </w:tcPr>
          <w:p w14:paraId="124A15AC">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判断依据</w:t>
            </w:r>
          </w:p>
        </w:tc>
      </w:tr>
      <w:tr w14:paraId="31ADDC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B90F7B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4.1 结局事件数是否合理？</w:t>
            </w:r>
          </w:p>
        </w:tc>
        <w:tc>
          <w:tcPr>
            <w:tcW w:w="5091" w:type="dxa"/>
            <w:tcMar>
              <w:top w:w="60" w:type="dxa"/>
              <w:left w:w="120" w:type="dxa"/>
              <w:bottom w:w="30" w:type="dxa"/>
              <w:right w:w="120" w:type="dxa"/>
            </w:tcMar>
          </w:tcPr>
          <w:p w14:paraId="1185F664">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Y/PY：建模研究EPV（结局数/候选预测因子数）≥10-20，验证研究结局数≥100；N/PN：EPV&lt;10或验证结局数&lt;100；NI：未报告结局数或预测因子数</w:t>
            </w:r>
          </w:p>
        </w:tc>
      </w:tr>
      <w:tr w14:paraId="7945CF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0723355">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4.2 连续型与分类型预测因子处理是否恰当？</w:t>
            </w:r>
          </w:p>
        </w:tc>
        <w:tc>
          <w:tcPr>
            <w:tcW w:w="5091" w:type="dxa"/>
            <w:tcMar>
              <w:top w:w="60" w:type="dxa"/>
              <w:left w:w="120" w:type="dxa"/>
              <w:bottom w:w="30" w:type="dxa"/>
              <w:right w:w="120" w:type="dxa"/>
            </w:tcMar>
          </w:tcPr>
          <w:p w14:paraId="5E5ACF62">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Y/PY：连续变量未随意分类或检验非线性；N/PN：连续变量随意分类；NI：未说明处理方法</w:t>
            </w:r>
          </w:p>
        </w:tc>
      </w:tr>
      <w:tr w14:paraId="04FE3D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151EBEF">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4.3 所有入组对象是否纳入分析？</w:t>
            </w:r>
          </w:p>
        </w:tc>
        <w:tc>
          <w:tcPr>
            <w:tcW w:w="5091" w:type="dxa"/>
            <w:tcMar>
              <w:top w:w="60" w:type="dxa"/>
              <w:left w:w="120" w:type="dxa"/>
              <w:bottom w:w="30" w:type="dxa"/>
              <w:right w:w="120" w:type="dxa"/>
            </w:tcMar>
          </w:tcPr>
          <w:p w14:paraId="6EAD7AA2">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Y/PY：全部纳入；N/PN：不当剔除亚组；NI：未报告纳入分析的对象数</w:t>
            </w:r>
          </w:p>
        </w:tc>
      </w:tr>
      <w:tr w14:paraId="3A8028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44F73BF">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4.4 缺失数据处理是否恰当？</w:t>
            </w:r>
          </w:p>
        </w:tc>
        <w:tc>
          <w:tcPr>
            <w:tcW w:w="5091" w:type="dxa"/>
            <w:tcMar>
              <w:top w:w="60" w:type="dxa"/>
              <w:left w:w="120" w:type="dxa"/>
              <w:bottom w:w="30" w:type="dxa"/>
              <w:right w:w="120" w:type="dxa"/>
            </w:tcMar>
          </w:tcPr>
          <w:p w14:paraId="58ED94CD">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Y/PY：采用多重插补法；N/PN：直接删除或方法错误；NI：未说明缺失数据处理</w:t>
            </w:r>
          </w:p>
        </w:tc>
      </w:tr>
      <w:tr w14:paraId="738EFD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EDF8CE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4.5 是否避免基于单因素分析筛选预测因子？</w:t>
            </w:r>
          </w:p>
        </w:tc>
        <w:tc>
          <w:tcPr>
            <w:tcW w:w="5091" w:type="dxa"/>
            <w:tcMar>
              <w:top w:w="60" w:type="dxa"/>
              <w:left w:w="120" w:type="dxa"/>
              <w:bottom w:w="30" w:type="dxa"/>
              <w:right w:w="120" w:type="dxa"/>
            </w:tcMar>
          </w:tcPr>
          <w:p w14:paraId="4085F4EA">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Y/PY：基于多因素或专业知识筛选；N/PN：单因素P&lt;0.05才纳入多因素模型；NI：未说明筛选方法</w:t>
            </w:r>
          </w:p>
        </w:tc>
      </w:tr>
      <w:tr w14:paraId="6CAA0C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B16E2DC">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4.6 数据复杂问题（删失、竞争风险等）处理是否恰当？</w:t>
            </w:r>
          </w:p>
        </w:tc>
        <w:tc>
          <w:tcPr>
            <w:tcW w:w="5091" w:type="dxa"/>
            <w:tcMar>
              <w:top w:w="60" w:type="dxa"/>
              <w:left w:w="120" w:type="dxa"/>
              <w:bottom w:w="30" w:type="dxa"/>
              <w:right w:w="120" w:type="dxa"/>
            </w:tcMar>
          </w:tcPr>
          <w:p w14:paraId="792BF3B2">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Y/PY：采用生存分析、竞争风险模型等；N/PN：忽略复杂问题；NI：未说明数据复杂性及处理方法</w:t>
            </w:r>
          </w:p>
        </w:tc>
      </w:tr>
      <w:tr w14:paraId="4AAC39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39EA490">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4.7 模型性能指标评估是否恰当？</w:t>
            </w:r>
          </w:p>
        </w:tc>
        <w:tc>
          <w:tcPr>
            <w:tcW w:w="5091" w:type="dxa"/>
            <w:tcMar>
              <w:top w:w="60" w:type="dxa"/>
              <w:left w:w="120" w:type="dxa"/>
              <w:bottom w:w="30" w:type="dxa"/>
              <w:right w:w="120" w:type="dxa"/>
            </w:tcMar>
          </w:tcPr>
          <w:p w14:paraId="1FCD43E1">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Y/PY：同时评估校准度（如校准曲线）和区分度（如AUC）；N/PN：仅评估其一或方法错误；NI：未报告性能指标</w:t>
            </w:r>
          </w:p>
        </w:tc>
      </w:tr>
      <w:tr w14:paraId="7454CC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675AF38">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4.8 是否处理过度拟合和乐观偏差？</w:t>
            </w:r>
          </w:p>
        </w:tc>
        <w:tc>
          <w:tcPr>
            <w:tcW w:w="5091" w:type="dxa"/>
            <w:tcMar>
              <w:top w:w="60" w:type="dxa"/>
              <w:left w:w="120" w:type="dxa"/>
              <w:bottom w:w="30" w:type="dxa"/>
              <w:right w:w="120" w:type="dxa"/>
            </w:tcMar>
          </w:tcPr>
          <w:p w14:paraId="3EA9832D">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Y/PY：采用自助抽样、交叉验证等内部验证并调整；N/PN：无验证或仅简单拆分样本；NI：未说明验证方法</w:t>
            </w:r>
          </w:p>
        </w:tc>
      </w:tr>
      <w:tr w14:paraId="45EE77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1912FD6">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4.9 最终模型与多因素分析结果是否一致？</w:t>
            </w:r>
          </w:p>
        </w:tc>
        <w:tc>
          <w:tcPr>
            <w:tcW w:w="5091" w:type="dxa"/>
            <w:tcMar>
              <w:top w:w="60" w:type="dxa"/>
              <w:left w:w="120" w:type="dxa"/>
              <w:bottom w:w="30" w:type="dxa"/>
              <w:right w:w="120" w:type="dxa"/>
            </w:tcMar>
          </w:tcPr>
          <w:p w14:paraId="5453B693">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Y/PY：预测因子及权重与回归结果匹配；N/PN：不匹配；NI：未报告多因素分析结果</w:t>
            </w:r>
          </w:p>
        </w:tc>
      </w:tr>
    </w:tbl>
    <w:p w14:paraId="77EB19F2">
      <w:pPr>
        <w:spacing w:before="320" w:after="120" w:line="360" w:lineRule="auto"/>
        <w:ind w:left="0"/>
        <w:jc w:val="left"/>
        <w:outlineLvl w:val="1"/>
        <w:rPr>
          <w:rFonts w:hint="default" w:ascii="Times New Roman" w:hAnsi="Times New Roman" w:eastAsia="宋体" w:cs="Times New Roman"/>
          <w:sz w:val="24"/>
          <w:szCs w:val="24"/>
          <w:highlight w:val="green"/>
        </w:rPr>
      </w:pPr>
      <w:bookmarkStart w:id="9" w:name="heading_16"/>
      <w:r>
        <w:rPr>
          <w:rFonts w:hint="default" w:ascii="Times New Roman" w:hAnsi="Times New Roman" w:eastAsia="宋体" w:cs="Times New Roman"/>
          <w:b/>
          <w:sz w:val="24"/>
          <w:szCs w:val="24"/>
          <w:highlight w:val="green"/>
        </w:rPr>
        <w:t>总体评价标准</w:t>
      </w:r>
      <w:bookmarkEnd w:id="9"/>
    </w:p>
    <w:p w14:paraId="299B72DF">
      <w:pPr>
        <w:spacing w:before="120" w:after="120" w:line="360" w:lineRule="auto"/>
        <w:ind w:left="0"/>
        <w:jc w:val="left"/>
      </w:pPr>
      <w:r>
        <w:drawing>
          <wp:inline distT="0" distB="0" distL="114300" distR="114300">
            <wp:extent cx="5129530" cy="4584065"/>
            <wp:effectExtent l="0" t="0" r="6350" b="317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5129530" cy="4584065"/>
                    </a:xfrm>
                    <a:prstGeom prst="rect">
                      <a:avLst/>
                    </a:prstGeom>
                    <a:noFill/>
                    <a:ln>
                      <a:noFill/>
                    </a:ln>
                  </pic:spPr>
                </pic:pic>
              </a:graphicData>
            </a:graphic>
          </wp:inline>
        </w:drawing>
      </w:r>
      <w:bookmarkStart w:id="10" w:name="_GoBack"/>
      <w:bookmarkEnd w:id="10"/>
    </w:p>
    <w:p w14:paraId="16CCD019">
      <w:pPr>
        <w:spacing w:before="120" w:after="120" w:line="288" w:lineRule="auto"/>
        <w:ind w:left="0"/>
        <w:jc w:val="left"/>
      </w:pPr>
      <w:r>
        <w:rPr>
          <w:rFonts w:ascii="Arial" w:hAnsi="Arial" w:eastAsia="等线" w:cs="Arial"/>
          <w:sz w:val="22"/>
        </w:rPr>
        <w:t>在实际的系统评价中，很多研究还会通过图表形式直观展示纳入的多个预测模型文献的偏倚风险及适用性评估结果，方便横向对比。</w:t>
      </w:r>
    </w:p>
    <w:p w14:paraId="0D3FFE64">
      <w:pPr>
        <w:spacing w:before="120" w:after="120" w:line="360" w:lineRule="auto"/>
        <w:ind w:left="0"/>
        <w:jc w:val="left"/>
        <w:rPr>
          <w:rFonts w:hint="default" w:ascii="Times New Roman" w:hAnsi="Times New Roman" w:eastAsia="宋体" w:cs="Times New Roman"/>
          <w:sz w:val="24"/>
          <w:szCs w:val="24"/>
        </w:rPr>
      </w:pPr>
      <w:r>
        <w:drawing>
          <wp:inline distT="0" distB="0" distL="114300" distR="114300">
            <wp:extent cx="3484880" cy="2074545"/>
            <wp:effectExtent l="0" t="0" r="508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3484880" cy="2074545"/>
                    </a:xfrm>
                    <a:prstGeom prst="rect">
                      <a:avLst/>
                    </a:prstGeom>
                  </pic:spPr>
                </pic:pic>
              </a:graphicData>
            </a:graphic>
          </wp:inline>
        </w:drawing>
      </w:r>
    </w:p>
    <w:p w14:paraId="180D31D4">
      <w:pPr>
        <w:spacing w:before="120" w:after="120" w:line="360" w:lineRule="auto"/>
        <w:ind w:left="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sz w:val="24"/>
          <w:szCs w:val="24"/>
          <w:lang w:val="en-US" w:eastAsia="zh-CN"/>
        </w:rPr>
        <w:t>概括</w:t>
      </w:r>
      <w:r>
        <w:rPr>
          <w:rFonts w:hint="default" w:ascii="Times New Roman" w:hAnsi="Times New Roman" w:eastAsia="宋体" w:cs="Times New Roman"/>
          <w:b/>
          <w:sz w:val="24"/>
          <w:szCs w:val="24"/>
        </w:rPr>
        <w:t>偏倚风险的汇总评价规则</w:t>
      </w:r>
    </w:p>
    <w:p w14:paraId="028476AE">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领域层面评价：每个领域分为低、高或不清楚3种情况。只有该领域所有问题都回答"是"或"可能是"，才视为"低风险"；只要有1个问题回答"否"或"可能不是"，就判定为"高风险"；若某个问题为"未提供信息"，且其他问题均为低风险，则该领域归为"不清楚"。</w:t>
      </w:r>
    </w:p>
    <w:p w14:paraId="4BD6FF60">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整体层面评价：同样分为低、高或不清楚3种情况。只有所有4个领域都评为"低风险"，整体才视为"低风险"；只要有1个领域评为"高风险"，整体就视为"高风险"；若某个领域评为"不清楚"，且其他领域均为"低风险"，则整体归为"不清楚"。</w:t>
      </w:r>
    </w:p>
    <w:p w14:paraId="0D3B4F80">
      <w:pPr>
        <w:spacing w:before="120" w:after="120" w:line="360" w:lineRule="auto"/>
        <w:ind w:left="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 xml:space="preserve">3. </w:t>
      </w:r>
      <w:r>
        <w:rPr>
          <w:rFonts w:hint="default" w:ascii="Times New Roman" w:hAnsi="Times New Roman" w:eastAsia="宋体" w:cs="Times New Roman"/>
          <w:sz w:val="24"/>
          <w:szCs w:val="24"/>
        </w:rPr>
        <w:t>关键</w:t>
      </w:r>
      <w:r>
        <w:rPr>
          <w:rFonts w:hint="default" w:ascii="Times New Roman" w:hAnsi="Times New Roman" w:eastAsia="宋体" w:cs="Times New Roman"/>
          <w:b/>
          <w:bCs/>
          <w:sz w:val="24"/>
          <w:szCs w:val="24"/>
        </w:rPr>
        <w:t>补充规则</w:t>
      </w:r>
      <w:r>
        <w:rPr>
          <w:rFonts w:hint="default" w:ascii="Times New Roman" w:hAnsi="Times New Roman" w:eastAsia="宋体" w:cs="Times New Roman"/>
          <w:sz w:val="24"/>
          <w:szCs w:val="24"/>
        </w:rPr>
        <w:t>：对于构建模型的研究，即便4个领域都评为低风险，若没有开展</w:t>
      </w:r>
      <w:r>
        <w:rPr>
          <w:rFonts w:hint="default" w:ascii="Times New Roman" w:hAnsi="Times New Roman" w:eastAsia="宋体" w:cs="Times New Roman"/>
          <w:b/>
          <w:bCs/>
          <w:sz w:val="24"/>
          <w:szCs w:val="24"/>
        </w:rPr>
        <w:t>外部验证</w:t>
      </w:r>
      <w:r>
        <w:rPr>
          <w:rFonts w:hint="default" w:ascii="Times New Roman" w:hAnsi="Times New Roman" w:eastAsia="宋体" w:cs="Times New Roman"/>
          <w:sz w:val="24"/>
          <w:szCs w:val="24"/>
        </w:rPr>
        <w:t>，整体风险等级仍需降级为高风险；但对于验证模型的研究，只要被验证的模型构建基于庞大数据集且构建时进行了内部验证，即便自身未做新的外部验证，整体仍可认为是低风险。</w:t>
      </w:r>
    </w:p>
    <w:p w14:paraId="1D70D91E">
      <w:pPr>
        <w:spacing w:before="120" w:after="120" w:line="360" w:lineRule="auto"/>
        <w:ind w:left="0"/>
        <w:jc w:val="left"/>
        <w:rPr>
          <w:rFonts w:hint="default" w:ascii="Times New Roman" w:hAnsi="Times New Roman" w:eastAsia="宋体" w:cs="Times New Roman"/>
          <w:sz w:val="24"/>
          <w:szCs w:val="24"/>
          <w:lang w:val="en-US" w:eastAsia="zh-CN"/>
        </w:rPr>
      </w:pPr>
    </w:p>
    <w:p w14:paraId="29FDC247">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9FAB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7C31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9244B0"/>
    <w:rsid w:val="4CBB10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4178</Words>
  <Characters>4724</Characters>
  <TotalTime>1</TotalTime>
  <ScaleCrop>false</ScaleCrop>
  <LinksUpToDate>false</LinksUpToDate>
  <CharactersWithSpaces>4802</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2025-11-05T07:11:00Z</dcterms:created>
  <dc:creator>Apache POI</dc:creator>
  <cp:lastModifiedBy>long</cp:lastModifiedBy>
  <dcterms:modified xsi:type="dcterms:W3CDTF">2025-11-06T08:40:40Z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eyJoZGlkIjoiZTU2YmMwOTlkMzI5ZTUxY2RjMjlhZTJmZmI3NTcxMmMiLCJ1c2VySWQiOiIzNDQ0OTQ0NzQifQ==</vt:lpwstr>
  </property>
  <property fmtid="{D5CDD505-2E9C-101B-9397-08002B2CF9AE}" pid="3" name="KSOProductBuildVer">
    <vt:lpwstr>2052-12.1.0.23125</vt:lpwstr>
  </property>
  <property fmtid="{D5CDD505-2E9C-101B-9397-08002B2CF9AE}" pid="4" name="ICV">
    <vt:lpwstr>755EFD79A6E940CFB8942D69B7C188F8_13</vt:lpwstr>
  </property>
</Properties>
</file>