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企业知识产权与专利申请奖励办法（试行）</w:t>
      </w:r>
    </w:p>
    <w:p>
      <w:pPr>
        <w:pStyle w:val="IntenseQuote"/>
      </w:pPr>
      <w:r>
        <w:t>发布部门：研发技术委员会 &amp; 法务合规部</w:t>
        <w:br/>
        <w:t>发布日期：2026年1月</w:t>
        <w:br/>
        <w:t>文号：企发〔2026〕08号</w:t>
      </w:r>
    </w:p>
    <w:p>
      <w:pPr>
        <w:pStyle w:val="Heading1"/>
      </w:pPr>
      <w:r>
        <w:t>第一条 目的与宗旨</w:t>
      </w:r>
    </w:p>
    <w:p>
      <w:r>
        <w:t>为充分调动广大技术研发人员的发明创造积极性，推动企业自主可控技术储备与核心专利壁垒建设，特制定本知识产权奖励与激励管理办法。</w:t>
      </w:r>
    </w:p>
    <w:p>
      <w:pPr>
        <w:pStyle w:val="Heading1"/>
      </w:pPr>
      <w:r>
        <w:t>第二条 奖励对象与范围</w:t>
      </w:r>
    </w:p>
    <w:p>
      <w:r>
        <w:t>本办法适用于在职期间利用公司平台、技术成果或业务资源完成的职务发明创造，包括：发明专利、实用新型专利、外观设计专利以及计算机软件著作权。</w:t>
      </w:r>
    </w:p>
    <w:p>
      <w:pPr>
        <w:pStyle w:val="Heading1"/>
      </w:pPr>
      <w:r>
        <w:t>第三条 专利奖励标准</w:t>
      </w:r>
    </w:p>
    <w:tbl>
      <w:tblPr>
        <w:tblW w:type="auto" w:w="0"/>
        <w:tblLook w:firstColumn="1" w:firstRow="1" w:lastColumn="0" w:lastRow="0" w:noHBand="0" w:noVBand="1" w:val="04A0"/>
      </w:tblPr>
      <w:tblGrid>
        <w:gridCol w:w="2160"/>
        <w:gridCol w:w="2160"/>
        <w:gridCol w:w="2160"/>
        <w:gridCol w:w="2160"/>
      </w:tblGrid>
      <w:tr>
        <w:tc>
          <w:tcPr>
            <w:tcW w:type="dxa" w:w="2160"/>
          </w:tcPr>
          <w:p>
            <w:r>
              <w:t>成果类型</w:t>
            </w:r>
          </w:p>
        </w:tc>
        <w:tc>
          <w:tcPr>
            <w:tcW w:type="dxa" w:w="2160"/>
          </w:tcPr>
          <w:p>
            <w:r>
              <w:t>受理奖（元/件）</w:t>
            </w:r>
          </w:p>
        </w:tc>
        <w:tc>
          <w:tcPr>
            <w:tcW w:type="dxa" w:w="2160"/>
          </w:tcPr>
          <w:p>
            <w:r>
              <w:t>授权奖（元/件）</w:t>
            </w:r>
          </w:p>
        </w:tc>
        <w:tc>
          <w:tcPr>
            <w:tcW w:type="dxa" w:w="2160"/>
          </w:tcPr>
          <w:p>
            <w:r>
              <w:t>年度卓越创新奖</w:t>
            </w:r>
          </w:p>
        </w:tc>
      </w:tr>
      <w:tr>
        <w:tc>
          <w:tcPr>
            <w:tcW w:type="dxa" w:w="2160"/>
          </w:tcPr>
          <w:p>
            <w:r>
              <w:t>国内发明专利</w:t>
            </w:r>
          </w:p>
        </w:tc>
        <w:tc>
          <w:tcPr>
            <w:tcW w:type="dxa" w:w="2160"/>
          </w:tcPr>
          <w:p>
            <w:r>
              <w:t>3,000</w:t>
            </w:r>
          </w:p>
        </w:tc>
        <w:tc>
          <w:tcPr>
            <w:tcW w:type="dxa" w:w="2160"/>
          </w:tcPr>
          <w:p>
            <w:r>
              <w:t>10,000</w:t>
            </w:r>
          </w:p>
        </w:tc>
        <w:tc>
          <w:tcPr>
            <w:tcW w:type="dxa" w:w="2160"/>
          </w:tcPr>
          <w:p>
            <w:r>
              <w:t>参评（特等奖 50,000 元）</w:t>
            </w:r>
          </w:p>
        </w:tc>
      </w:tr>
      <w:tr>
        <w:tc>
          <w:tcPr>
            <w:tcW w:type="dxa" w:w="2160"/>
          </w:tcPr>
          <w:p>
            <w:r>
              <w:t>PCT国际发明专利</w:t>
            </w:r>
          </w:p>
        </w:tc>
        <w:tc>
          <w:tcPr>
            <w:tcW w:type="dxa" w:w="2160"/>
          </w:tcPr>
          <w:p>
            <w:r>
              <w:t>8,000</w:t>
            </w:r>
          </w:p>
        </w:tc>
        <w:tc>
          <w:tcPr>
            <w:tcW w:type="dxa" w:w="2160"/>
          </w:tcPr>
          <w:p>
            <w:r>
              <w:t>30,000</w:t>
            </w:r>
          </w:p>
        </w:tc>
        <w:tc>
          <w:tcPr>
            <w:tcW w:type="dxa" w:w="2160"/>
          </w:tcPr>
          <w:p>
            <w:r>
              <w:t>直接入围候选名单</w:t>
            </w:r>
          </w:p>
        </w:tc>
      </w:tr>
      <w:tr>
        <w:tc>
          <w:tcPr>
            <w:tcW w:type="dxa" w:w="2160"/>
          </w:tcPr>
          <w:p>
            <w:r>
              <w:t>实用新型专利</w:t>
            </w:r>
          </w:p>
        </w:tc>
        <w:tc>
          <w:tcPr>
            <w:tcW w:type="dxa" w:w="2160"/>
          </w:tcPr>
          <w:p>
            <w:r>
              <w:t>1,000</w:t>
            </w:r>
          </w:p>
        </w:tc>
        <w:tc>
          <w:tcPr>
            <w:tcW w:type="dxa" w:w="2160"/>
          </w:tcPr>
          <w:p>
            <w:r>
              <w:t>3,000</w:t>
            </w:r>
          </w:p>
        </w:tc>
        <w:tc>
          <w:tcPr>
            <w:tcW w:type="dxa" w:w="2160"/>
          </w:tcPr>
          <w:p>
            <w:r>
              <w:t>表彰与荣誉积分</w:t>
            </w:r>
          </w:p>
        </w:tc>
      </w:tr>
      <w:tr>
        <w:tc>
          <w:tcPr>
            <w:tcW w:type="dxa" w:w="2160"/>
          </w:tcPr>
          <w:p>
            <w:r>
              <w:t>计算机软件著作权</w:t>
            </w:r>
          </w:p>
        </w:tc>
        <w:tc>
          <w:tcPr>
            <w:tcW w:type="dxa" w:w="2160"/>
          </w:tcPr>
          <w:p>
            <w:r>
              <w:t>500</w:t>
            </w:r>
          </w:p>
        </w:tc>
        <w:tc>
          <w:tcPr>
            <w:tcW w:type="dxa" w:w="2160"/>
          </w:tcPr>
          <w:p>
            <w:r>
              <w:t>1,500</w:t>
            </w:r>
          </w:p>
        </w:tc>
        <w:tc>
          <w:tcPr>
            <w:tcW w:type="dxa" w:w="2160"/>
          </w:tcPr>
          <w:p>
            <w:r>
              <w:t>计入团队季度绩效</w:t>
            </w:r>
          </w:p>
        </w:tc>
      </w:tr>
    </w:tbl>
    <w:p>
      <w:pPr>
        <w:pStyle w:val="Heading1"/>
      </w:pPr>
      <w:r>
        <w:t>第四条 申报与评审流程</w:t>
      </w:r>
    </w:p>
    <w:p>
      <w:r>
        <w:t>1. 提案提交：发明人撰写技术交底书并在知识产权系统提交申请。</w:t>
        <w:br/>
        <w:t>2. 内部评审：技术委员会在 10 个工作日内完成查新与商业价值评估。</w:t>
        <w:br/>
        <w:t>3. 代理撰写：评审通过后由公司合作涉外专利事务所协助正式递交国家知识产权局。</w:t>
        <w:br/>
        <w:t>4. 奖金发放：获得官方受理通知书次月发放受理奖，获得正式授权证书次月发放授权奖。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