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center"/>
      </w:pPr>
      <w:r>
        <w:rPr>
          <w:rFonts w:ascii="Arial" w:hAnsi="Arial" w:eastAsia="黑体"/>
          <w:b/>
          <w:color w:val="000000"/>
          <w:sz w:val="36"/>
        </w:rPr>
        <w:t>公司新员工管理制度</w:t>
      </w:r>
    </w:p>
    <w:p>
      <w:pPr>
        <w:spacing w:after="240"/>
        <w:jc w:val="center"/>
      </w:pPr>
      <w:r>
        <w:rPr>
          <w:rFonts w:ascii="Arial" w:hAnsi="Arial" w:eastAsia="楷体"/>
          <w:b w:val="0"/>
          <w:color w:val="000000"/>
          <w:sz w:val="24"/>
        </w:rPr>
        <w:t>版本：V1.0    生效日期：2026年××月××日    编制部门：人力资源部</w:t>
      </w:r>
    </w:p>
    <w:p>
      <w:pPr>
        <w:pStyle w:val="Heading1"/>
        <w:spacing w:before="280" w:after="120"/>
        <w:ind w:firstLine="0"/>
        <w:jc w:val="left"/>
      </w:pPr>
      <w:r>
        <w:rPr>
          <w:rFonts w:ascii="Arial" w:hAnsi="Arial" w:eastAsia="黑体"/>
          <w:b/>
          <w:color w:val="000000"/>
          <w:sz w:val="32"/>
        </w:rPr>
        <w:t>第一章  总则</w:t>
      </w:r>
    </w:p>
    <w:p>
      <w:pPr>
        <w:pStyle w:val="Heading2"/>
        <w:spacing w:before="220" w:after="100"/>
        <w:ind w:firstLine="0"/>
        <w:jc w:val="left"/>
      </w:pPr>
      <w:r>
        <w:rPr>
          <w:rFonts w:ascii="Arial" w:hAnsi="Arial" w:eastAsia="黑体"/>
          <w:b/>
          <w:color w:val="000000"/>
          <w:sz w:val="28"/>
        </w:rPr>
        <w:t>第一条  目的与依据</w:t>
      </w:r>
    </w:p>
    <w:p>
      <w:pPr>
        <w:spacing w:line="360" w:lineRule="auto" w:before="0" w:after="0"/>
        <w:ind w:firstLine="480"/>
        <w:jc w:val="both"/>
      </w:pPr>
      <w:r>
        <w:rPr>
          <w:rFonts w:ascii="Arial" w:hAnsi="Arial" w:eastAsia="宋体"/>
          <w:b w:val="0"/>
          <w:color w:val="000000"/>
          <w:sz w:val="24"/>
        </w:rPr>
        <w:t>为规范公司新员工入职管理，明确员工与公司双方的权利义务，保障公司正常经营秩序，促进员工与公司共同发展，根据《中华人民共和国劳动法》《中华人民共和国劳动合同法》及相关法律法规，结合公司实际情况，特制定本制度。</w:t>
      </w:r>
    </w:p>
    <w:p>
      <w:pPr>
        <w:pStyle w:val="Heading2"/>
        <w:spacing w:before="220" w:after="100"/>
        <w:ind w:firstLine="0"/>
        <w:jc w:val="left"/>
      </w:pPr>
      <w:r>
        <w:rPr>
          <w:rFonts w:ascii="Arial" w:hAnsi="Arial" w:eastAsia="黑体"/>
          <w:b/>
          <w:color w:val="000000"/>
          <w:sz w:val="28"/>
        </w:rPr>
        <w:t>第二条  适用范围</w:t>
      </w:r>
    </w:p>
    <w:p>
      <w:pPr>
        <w:spacing w:line="360" w:lineRule="auto" w:before="0" w:after="0"/>
        <w:ind w:firstLine="480"/>
        <w:jc w:val="both"/>
      </w:pPr>
      <w:r>
        <w:rPr>
          <w:rFonts w:ascii="Arial" w:hAnsi="Arial" w:eastAsia="宋体"/>
          <w:b w:val="0"/>
          <w:color w:val="000000"/>
          <w:sz w:val="24"/>
        </w:rPr>
        <w:t>本制度适用于公司全体新入职员工，包括但不限于正式录用员工、试用期员工、实习生及其他与公司建立劳动关系或劳务关系的人员。各部门、各分支机构均应遵照执行。</w:t>
      </w:r>
    </w:p>
    <w:p>
      <w:pPr>
        <w:pStyle w:val="Heading2"/>
        <w:spacing w:before="220" w:after="100"/>
        <w:ind w:firstLine="0"/>
        <w:jc w:val="left"/>
      </w:pPr>
      <w:r>
        <w:rPr>
          <w:rFonts w:ascii="Arial" w:hAnsi="Arial" w:eastAsia="黑体"/>
          <w:b/>
          <w:color w:val="000000"/>
          <w:sz w:val="28"/>
        </w:rPr>
        <w:t>第三条  基本原则</w:t>
      </w:r>
    </w:p>
    <w:p>
      <w:pPr>
        <w:spacing w:line="360" w:lineRule="auto" w:before="0" w:after="0"/>
        <w:ind w:firstLine="480"/>
        <w:jc w:val="both"/>
      </w:pPr>
      <w:r>
        <w:rPr>
          <w:rFonts w:ascii="Arial" w:hAnsi="Arial" w:eastAsia="宋体"/>
          <w:b w:val="0"/>
          <w:color w:val="000000"/>
          <w:sz w:val="24"/>
        </w:rPr>
        <w:t>公司新员工管理遵循以下基本原则：（一）合法合规原则，严格遵守国家法律法规及地方政策；（二）公平公正原则，对所有员工一视同仁，不因性别、民族、宗教信仰、年龄等因素歧视；（三）以人为本原则，尊重员工合法权益，关注员工职业发展；（四）效率优先原则，简化入职流程，提高管理效率。</w:t>
      </w:r>
    </w:p>
    <w:p>
      <w:pPr>
        <w:pStyle w:val="Heading1"/>
        <w:spacing w:before="280" w:after="120"/>
        <w:ind w:firstLine="0"/>
        <w:jc w:val="left"/>
      </w:pPr>
      <w:r>
        <w:rPr>
          <w:rFonts w:ascii="Arial" w:hAnsi="Arial" w:eastAsia="黑体"/>
          <w:b/>
          <w:color w:val="000000"/>
          <w:sz w:val="32"/>
        </w:rPr>
        <w:t>第二章  入职管理</w:t>
      </w:r>
    </w:p>
    <w:p>
      <w:pPr>
        <w:pStyle w:val="Heading2"/>
        <w:spacing w:before="220" w:after="100"/>
        <w:ind w:firstLine="0"/>
        <w:jc w:val="left"/>
      </w:pPr>
      <w:r>
        <w:rPr>
          <w:rFonts w:ascii="Arial" w:hAnsi="Arial" w:eastAsia="黑体"/>
          <w:b/>
          <w:color w:val="000000"/>
          <w:sz w:val="28"/>
        </w:rPr>
        <w:t>第四条  入职报到</w:t>
      </w:r>
    </w:p>
    <w:p>
      <w:pPr>
        <w:spacing w:line="360" w:lineRule="auto" w:before="0" w:after="0"/>
        <w:ind w:firstLine="480"/>
        <w:jc w:val="both"/>
      </w:pPr>
      <w:r>
        <w:rPr>
          <w:rFonts w:ascii="Arial" w:hAnsi="Arial" w:eastAsia="宋体"/>
          <w:b w:val="0"/>
          <w:color w:val="000000"/>
          <w:sz w:val="24"/>
        </w:rPr>
        <w:t>新员工应按照录用通知书规定的日期到公司人力资源部办理入职报到手续。因故不能按时报到的，应提前三个工作日向人力资源部书面说明原因并申请延期，延期最长不超过十个工作日。未按时报到且未申请延期的，视为自动放弃录用资格。</w:t>
      </w:r>
    </w:p>
    <w:p>
      <w:pPr>
        <w:pStyle w:val="Heading2"/>
        <w:spacing w:before="220" w:after="100"/>
        <w:ind w:firstLine="0"/>
        <w:jc w:val="left"/>
      </w:pPr>
      <w:r>
        <w:rPr>
          <w:rFonts w:ascii="Arial" w:hAnsi="Arial" w:eastAsia="黑体"/>
          <w:b/>
          <w:color w:val="000000"/>
          <w:sz w:val="28"/>
        </w:rPr>
        <w:t>第五条  入职材料提交</w:t>
      </w:r>
    </w:p>
    <w:p>
      <w:pPr>
        <w:spacing w:line="360" w:lineRule="auto" w:before="0" w:after="0"/>
        <w:ind w:firstLine="480"/>
        <w:jc w:val="both"/>
      </w:pPr>
      <w:r>
        <w:rPr>
          <w:rFonts w:ascii="Arial" w:hAnsi="Arial" w:eastAsia="宋体"/>
          <w:b w:val="0"/>
          <w:color w:val="000000"/>
          <w:sz w:val="24"/>
        </w:rPr>
        <w:t>新员工办理入职手续时，须提交以下材料的原件及复印件：（一）居民身份证；（二）学历证书、学位证书及相关职业资格证书；（三）近期免冠一寸彩色照片两张；（四）原单位离职证明（应届毕业生提供报到证）；（五）银行卡复印件（用于工资发放）；（六）公司要求提供的其他材料。员工应对所提交材料的真实性负责，提供虚假材料的，公司有权解除劳动合同且不支付经济补偿。</w:t>
      </w:r>
    </w:p>
    <w:p>
      <w:pPr>
        <w:pStyle w:val="Heading2"/>
        <w:spacing w:before="220" w:after="100"/>
        <w:ind w:firstLine="0"/>
        <w:jc w:val="left"/>
      </w:pPr>
      <w:r>
        <w:rPr>
          <w:rFonts w:ascii="Arial" w:hAnsi="Arial" w:eastAsia="黑体"/>
          <w:b/>
          <w:color w:val="000000"/>
          <w:sz w:val="28"/>
        </w:rPr>
        <w:t>第六条  劳动合同签订</w:t>
      </w:r>
    </w:p>
    <w:p>
      <w:pPr>
        <w:spacing w:line="360" w:lineRule="auto" w:before="0" w:after="0"/>
        <w:ind w:firstLine="480"/>
        <w:jc w:val="both"/>
      </w:pPr>
      <w:r>
        <w:rPr>
          <w:rFonts w:ascii="Arial" w:hAnsi="Arial" w:eastAsia="宋体"/>
          <w:b w:val="0"/>
          <w:color w:val="000000"/>
          <w:sz w:val="24"/>
        </w:rPr>
        <w:t>公司自用工之日起一个月内与新员工签订书面劳动合同。劳动合同期限根据岗位性质和工作需要确定，一般为一至三年，其中包含试用期。员工应在入职当日签署劳动合同，拒绝签订的，公司有权终止用工关系。</w:t>
      </w:r>
    </w:p>
    <w:p>
      <w:pPr>
        <w:pStyle w:val="Heading2"/>
        <w:spacing w:before="220" w:after="100"/>
        <w:ind w:firstLine="0"/>
        <w:jc w:val="left"/>
      </w:pPr>
      <w:r>
        <w:rPr>
          <w:rFonts w:ascii="Arial" w:hAnsi="Arial" w:eastAsia="黑体"/>
          <w:b/>
          <w:color w:val="000000"/>
          <w:sz w:val="28"/>
        </w:rPr>
        <w:t>第七条  试用期管理</w:t>
      </w:r>
    </w:p>
    <w:p>
      <w:pPr>
        <w:spacing w:line="360" w:lineRule="auto" w:before="0" w:after="0"/>
        <w:ind w:firstLine="480"/>
        <w:jc w:val="both"/>
      </w:pPr>
      <w:r>
        <w:rPr>
          <w:rFonts w:ascii="Arial" w:hAnsi="Arial" w:eastAsia="宋体"/>
          <w:b w:val="0"/>
          <w:color w:val="000000"/>
          <w:sz w:val="24"/>
        </w:rPr>
        <w:t>试用期根据劳动合同期限确定：劳动合同期限三个月以上不满一年的，试用期不超过一个月；一年以上不满三年的，试用期不超过两个月；三年以上固定期限和无固定期限的劳动合同，试用期不超过六个月。试用期内，员工应遵守公司各项规章制度，完成岗位工作任务。公司在试用期结束前五个工作日内对员工进行考核，考核合格者按期转正；考核不合格者，公司可依法解除劳动合同。</w:t>
      </w:r>
    </w:p>
    <w:p>
      <w:pPr>
        <w:pStyle w:val="Heading1"/>
        <w:spacing w:before="280" w:after="120"/>
        <w:ind w:firstLine="0"/>
        <w:jc w:val="left"/>
      </w:pPr>
      <w:r>
        <w:rPr>
          <w:rFonts w:ascii="Arial" w:hAnsi="Arial" w:eastAsia="黑体"/>
          <w:b/>
          <w:color w:val="000000"/>
          <w:sz w:val="32"/>
        </w:rPr>
        <w:t>第三章  考勤与休假</w:t>
      </w:r>
    </w:p>
    <w:p>
      <w:pPr>
        <w:pStyle w:val="Heading2"/>
        <w:spacing w:before="220" w:after="100"/>
        <w:ind w:firstLine="0"/>
        <w:jc w:val="left"/>
      </w:pPr>
      <w:r>
        <w:rPr>
          <w:rFonts w:ascii="Arial" w:hAnsi="Arial" w:eastAsia="黑体"/>
          <w:b/>
          <w:color w:val="000000"/>
          <w:sz w:val="28"/>
        </w:rPr>
        <w:t>第八条  工作时间</w:t>
      </w:r>
    </w:p>
    <w:p>
      <w:pPr>
        <w:spacing w:line="360" w:lineRule="auto" w:before="0" w:after="0"/>
        <w:ind w:firstLine="480"/>
        <w:jc w:val="both"/>
      </w:pPr>
      <w:r>
        <w:rPr>
          <w:rFonts w:ascii="Arial" w:hAnsi="Arial" w:eastAsia="宋体"/>
          <w:b w:val="0"/>
          <w:color w:val="000000"/>
          <w:sz w:val="24"/>
        </w:rPr>
        <w:t>公司实行标准工时制度，每周工作五天，每日工作八小时。具体工作时间为：上午9:00至12:00，下午13:00至18:00。因岗位特殊需要实行不定时工作制或综合计算工时工作制的，按公司相关规定执行并报劳动行政部门审批。</w:t>
      </w:r>
    </w:p>
    <w:p>
      <w:pPr>
        <w:pStyle w:val="Heading2"/>
        <w:spacing w:before="220" w:after="100"/>
        <w:ind w:firstLine="0"/>
        <w:jc w:val="left"/>
      </w:pPr>
      <w:r>
        <w:rPr>
          <w:rFonts w:ascii="Arial" w:hAnsi="Arial" w:eastAsia="黑体"/>
          <w:b/>
          <w:color w:val="000000"/>
          <w:sz w:val="28"/>
        </w:rPr>
        <w:t>第九条  考勤规定</w:t>
      </w:r>
    </w:p>
    <w:p>
      <w:pPr>
        <w:spacing w:line="360" w:lineRule="auto" w:before="0" w:after="0"/>
        <w:ind w:firstLine="480"/>
        <w:jc w:val="both"/>
      </w:pPr>
      <w:r>
        <w:rPr>
          <w:rFonts w:ascii="Arial" w:hAnsi="Arial" w:eastAsia="宋体"/>
          <w:b w:val="0"/>
          <w:color w:val="000000"/>
          <w:sz w:val="24"/>
        </w:rPr>
        <w:t>员工应按时上下班，不得迟到、早退、旷工。公司实行打卡考勤制度，员工每日上下班均须打卡。迟到或早退三十分钟以内的，每次扣发当日工资的百分之十；超过三十分钟的，按旷工半天处理。连续旷工三天或年度累计旷工五天的，公司有权解除劳动合同。因公外出不能打卡的，应提前向直属上级报备并补办手续。</w:t>
      </w:r>
    </w:p>
    <w:p>
      <w:pPr>
        <w:pStyle w:val="Heading2"/>
        <w:spacing w:before="220" w:after="100"/>
        <w:ind w:firstLine="0"/>
        <w:jc w:val="left"/>
      </w:pPr>
      <w:r>
        <w:rPr>
          <w:rFonts w:ascii="Arial" w:hAnsi="Arial" w:eastAsia="黑体"/>
          <w:b/>
          <w:color w:val="000000"/>
          <w:sz w:val="28"/>
        </w:rPr>
        <w:t>第十条  请假制度</w:t>
      </w:r>
    </w:p>
    <w:p>
      <w:pPr>
        <w:spacing w:line="360" w:lineRule="auto" w:before="0" w:after="0"/>
        <w:ind w:firstLine="480"/>
        <w:jc w:val="both"/>
      </w:pPr>
      <w:r>
        <w:rPr>
          <w:rFonts w:ascii="Arial" w:hAnsi="Arial" w:eastAsia="宋体"/>
          <w:b w:val="0"/>
          <w:color w:val="000000"/>
          <w:sz w:val="24"/>
        </w:rPr>
        <w:t>员工请假须提前填写请假申请单并按审批权限报批。请假一天以内的，由部门负责人审批；一天以上三天以内的，由部门负责人审核、分管副总审批；三天以上的，须报总经理审批。病假须提供二级以上医院出具的诊断证明。未经批准擅自离岗的，按旷工处理。</w:t>
      </w:r>
    </w:p>
    <w:p>
      <w:pPr>
        <w:pStyle w:val="Heading2"/>
        <w:spacing w:before="220" w:after="100"/>
        <w:ind w:firstLine="0"/>
        <w:jc w:val="left"/>
      </w:pPr>
      <w:r>
        <w:rPr>
          <w:rFonts w:ascii="Arial" w:hAnsi="Arial" w:eastAsia="黑体"/>
          <w:b/>
          <w:color w:val="000000"/>
          <w:sz w:val="28"/>
        </w:rPr>
        <w:t>第十一条  法定假期与福利假</w:t>
      </w:r>
    </w:p>
    <w:p>
      <w:pPr>
        <w:spacing w:line="360" w:lineRule="auto" w:before="0" w:after="0"/>
        <w:ind w:firstLine="480"/>
        <w:jc w:val="both"/>
      </w:pPr>
      <w:r>
        <w:rPr>
          <w:rFonts w:ascii="Arial" w:hAnsi="Arial" w:eastAsia="宋体"/>
          <w:b w:val="0"/>
          <w:color w:val="000000"/>
          <w:sz w:val="24"/>
        </w:rPr>
        <w:t>员工依法享有国家法定节假日，包括元旦、春节、清明节、劳动节、端午节、中秋节、国庆节等。此外，员工还享有以下福利假期：（一）年休假：工作满一年不满十年的，年休假五天；满十年不满二十年的，年休假十天；满二十年的，年休假十五天；（二）婚假：员工结婚享有三天婚假，晚婚的按地方规定增加；（三）产假与陪产假：按国家及地方规定执行；（四）丧假：直系亲属去世享有三天丧假。</w:t>
      </w:r>
    </w:p>
    <w:p>
      <w:pPr>
        <w:pStyle w:val="Heading1"/>
        <w:spacing w:before="280" w:after="120"/>
        <w:ind w:firstLine="0"/>
        <w:jc w:val="left"/>
      </w:pPr>
      <w:r>
        <w:rPr>
          <w:rFonts w:ascii="Arial" w:hAnsi="Arial" w:eastAsia="黑体"/>
          <w:b/>
          <w:color w:val="000000"/>
          <w:sz w:val="32"/>
        </w:rPr>
        <w:t>第四章  薪酬与福利</w:t>
      </w:r>
    </w:p>
    <w:p>
      <w:pPr>
        <w:pStyle w:val="Heading2"/>
        <w:spacing w:before="220" w:after="100"/>
        <w:ind w:firstLine="0"/>
        <w:jc w:val="left"/>
      </w:pPr>
      <w:r>
        <w:rPr>
          <w:rFonts w:ascii="Arial" w:hAnsi="Arial" w:eastAsia="黑体"/>
          <w:b/>
          <w:color w:val="000000"/>
          <w:sz w:val="28"/>
        </w:rPr>
        <w:t>第十二条  薪酬构成</w:t>
      </w:r>
    </w:p>
    <w:p>
      <w:pPr>
        <w:spacing w:line="360" w:lineRule="auto" w:before="0" w:after="0"/>
        <w:ind w:firstLine="480"/>
        <w:jc w:val="both"/>
      </w:pPr>
      <w:r>
        <w:rPr>
          <w:rFonts w:ascii="Arial" w:hAnsi="Arial" w:eastAsia="宋体"/>
          <w:b w:val="0"/>
          <w:color w:val="000000"/>
          <w:sz w:val="24"/>
        </w:rPr>
        <w:t>员工薪酬由基本工资、岗位工资、绩效工资和津贴补贴四部分构成。基本工资根据岗位职级确定；岗位工资根据岗位职责和任职要求确定；绩效工资根据绩效考核结果发放；津贴补贴包括交通补贴、通讯补贴、餐补等，具体标准按公司相关规定执行。试用期工资不低于转正后工资的百分之八十，且不低于当地最低工资标准。</w:t>
      </w:r>
    </w:p>
    <w:p>
      <w:pPr>
        <w:pStyle w:val="Heading2"/>
        <w:spacing w:before="220" w:after="100"/>
        <w:ind w:firstLine="0"/>
        <w:jc w:val="left"/>
      </w:pPr>
      <w:r>
        <w:rPr>
          <w:rFonts w:ascii="Arial" w:hAnsi="Arial" w:eastAsia="黑体"/>
          <w:b/>
          <w:color w:val="000000"/>
          <w:sz w:val="28"/>
        </w:rPr>
        <w:t>第十三条  发薪规则</w:t>
      </w:r>
    </w:p>
    <w:p>
      <w:pPr>
        <w:spacing w:line="360" w:lineRule="auto" w:before="0" w:after="0"/>
        <w:ind w:firstLine="480"/>
        <w:jc w:val="both"/>
      </w:pPr>
      <w:r>
        <w:rPr>
          <w:rFonts w:ascii="Arial" w:hAnsi="Arial" w:eastAsia="宋体"/>
          <w:b w:val="0"/>
          <w:color w:val="000000"/>
          <w:sz w:val="24"/>
        </w:rPr>
        <w:t>公司每月十五日发放上月工资，遇节假日顺延至最近的工作日。工资以银行转账方式发放至员工本人指定的银行账户。员工对工资有异议的，应在收到工资后五个工作日内向人力资源部提出，逾期未提出的视为无异议。公司依法从员工工资中代扣代缴个人所得税、社会保险个人缴纳部分及其他法定扣款项目。</w:t>
      </w:r>
    </w:p>
    <w:p>
      <w:pPr>
        <w:pStyle w:val="Heading2"/>
        <w:spacing w:before="220" w:after="100"/>
        <w:ind w:firstLine="0"/>
        <w:jc w:val="left"/>
      </w:pPr>
      <w:r>
        <w:rPr>
          <w:rFonts w:ascii="Arial" w:hAnsi="Arial" w:eastAsia="黑体"/>
          <w:b/>
          <w:color w:val="000000"/>
          <w:sz w:val="28"/>
        </w:rPr>
        <w:t>第十四条  社会保险与公积金</w:t>
      </w:r>
    </w:p>
    <w:p>
      <w:pPr>
        <w:spacing w:line="360" w:lineRule="auto" w:before="0" w:after="0"/>
        <w:ind w:firstLine="480"/>
        <w:jc w:val="both"/>
      </w:pPr>
      <w:r>
        <w:rPr>
          <w:rFonts w:ascii="Arial" w:hAnsi="Arial" w:eastAsia="宋体"/>
          <w:b w:val="0"/>
          <w:color w:val="000000"/>
          <w:sz w:val="24"/>
        </w:rPr>
        <w:t>公司自用工之日起为员工缴纳基本养老保险、基本医疗保险、失业保险、工伤保险和生育保险，并依法缴纳住房公积金。缴费基数和比例按照国家及地方规定执行。员工应配合提供办理社会保险和公积金所需的相关材料。</w:t>
      </w:r>
    </w:p>
    <w:p>
      <w:pPr>
        <w:pStyle w:val="Heading2"/>
        <w:spacing w:before="220" w:after="100"/>
        <w:ind w:firstLine="0"/>
        <w:jc w:val="left"/>
      </w:pPr>
      <w:r>
        <w:rPr>
          <w:rFonts w:ascii="Arial" w:hAnsi="Arial" w:eastAsia="黑体"/>
          <w:b/>
          <w:color w:val="000000"/>
          <w:sz w:val="28"/>
        </w:rPr>
        <w:t>第十五条  其他福利</w:t>
      </w:r>
    </w:p>
    <w:p>
      <w:pPr>
        <w:spacing w:line="360" w:lineRule="auto" w:before="0" w:after="0"/>
        <w:ind w:firstLine="480"/>
        <w:jc w:val="both"/>
      </w:pPr>
      <w:r>
        <w:rPr>
          <w:rFonts w:ascii="Arial" w:hAnsi="Arial" w:eastAsia="宋体"/>
          <w:b w:val="0"/>
          <w:color w:val="000000"/>
          <w:sz w:val="24"/>
        </w:rPr>
        <w:t>公司为员工提供以下福利：（一）年度健康体检：公司每年组织一次员工健康体检；（二）节日福利：在重要节日发放节日礼品或礼金；（三）生日福利：员工生日当月发放生日礼金或礼品；（四）团建活动：公司定期组织部门团建和全员活动；（五）培训福利：公司为员工提供岗位培训和职业发展培训机会。具体福利标准和发放方式由人力资源部另行制定。</w:t>
      </w:r>
    </w:p>
    <w:p>
      <w:pPr>
        <w:pStyle w:val="Heading1"/>
        <w:spacing w:before="280" w:after="120"/>
        <w:ind w:firstLine="0"/>
        <w:jc w:val="left"/>
      </w:pPr>
      <w:r>
        <w:rPr>
          <w:rFonts w:ascii="Arial" w:hAnsi="Arial" w:eastAsia="黑体"/>
          <w:b/>
          <w:color w:val="000000"/>
          <w:sz w:val="32"/>
        </w:rPr>
        <w:t>第五章  行为规范</w:t>
      </w:r>
    </w:p>
    <w:p>
      <w:pPr>
        <w:pStyle w:val="Heading2"/>
        <w:spacing w:before="220" w:after="100"/>
        <w:ind w:firstLine="0"/>
        <w:jc w:val="left"/>
      </w:pPr>
      <w:r>
        <w:rPr>
          <w:rFonts w:ascii="Arial" w:hAnsi="Arial" w:eastAsia="黑体"/>
          <w:b/>
          <w:color w:val="000000"/>
          <w:sz w:val="28"/>
        </w:rPr>
        <w:t>第十六条  职业道德</w:t>
      </w:r>
    </w:p>
    <w:p>
      <w:pPr>
        <w:spacing w:line="360" w:lineRule="auto" w:before="0" w:after="0"/>
        <w:ind w:firstLine="480"/>
        <w:jc w:val="both"/>
      </w:pPr>
      <w:r>
        <w:rPr>
          <w:rFonts w:ascii="Arial" w:hAnsi="Arial" w:eastAsia="宋体"/>
          <w:b w:val="0"/>
          <w:color w:val="000000"/>
          <w:sz w:val="24"/>
        </w:rPr>
        <w:t>员工应遵守以下职业道德规范：（一）诚实守信，不弄虚作假，不欺骗公司和客户；（二）爱岗敬业，认真履行岗位职责，努力提高工作效率和质量；（三）团结协作，尊重同事，积极配合团队完成工作任务；（四）廉洁自律，不利用职务之便谋取私利，不收受供应商或客户的贿赂；（五）保守秘密，不泄露公司商业秘密和客户信息。</w:t>
      </w:r>
    </w:p>
    <w:p>
      <w:pPr>
        <w:pStyle w:val="Heading2"/>
        <w:spacing w:before="220" w:after="100"/>
        <w:ind w:firstLine="0"/>
        <w:jc w:val="left"/>
      </w:pPr>
      <w:r>
        <w:rPr>
          <w:rFonts w:ascii="Arial" w:hAnsi="Arial" w:eastAsia="黑体"/>
          <w:b/>
          <w:color w:val="000000"/>
          <w:sz w:val="28"/>
        </w:rPr>
        <w:t>第十七条  保密义务</w:t>
      </w:r>
    </w:p>
    <w:p>
      <w:pPr>
        <w:spacing w:line="360" w:lineRule="auto" w:before="0" w:after="0"/>
        <w:ind w:firstLine="480"/>
        <w:jc w:val="both"/>
      </w:pPr>
      <w:r>
        <w:rPr>
          <w:rFonts w:ascii="Arial" w:hAnsi="Arial" w:eastAsia="宋体"/>
          <w:b w:val="0"/>
          <w:color w:val="000000"/>
          <w:sz w:val="24"/>
        </w:rPr>
        <w:t>员工对在工作中知悉的公司商业秘密负有保密义务。商业秘密包括但不限于：技术信息、经营信息、客户资料、财务数据、人事信息、未公开的战略规划等。员工在职期间及离职后，未经公司书面同意，不得向任何第三方披露、使用或允许他人使用公司商业秘密。违反保密义务的，员工应承担赔偿责任，构成犯罪的，依法追究刑事责任。</w:t>
      </w:r>
    </w:p>
    <w:p>
      <w:pPr>
        <w:pStyle w:val="Heading2"/>
        <w:spacing w:before="220" w:after="100"/>
        <w:ind w:firstLine="0"/>
        <w:jc w:val="left"/>
      </w:pPr>
      <w:r>
        <w:rPr>
          <w:rFonts w:ascii="Arial" w:hAnsi="Arial" w:eastAsia="黑体"/>
          <w:b/>
          <w:color w:val="000000"/>
          <w:sz w:val="28"/>
        </w:rPr>
        <w:t>第十八条  办公行为准则</w:t>
      </w:r>
    </w:p>
    <w:p>
      <w:pPr>
        <w:spacing w:line="360" w:lineRule="auto" w:before="0" w:after="0"/>
        <w:ind w:firstLine="480"/>
        <w:jc w:val="both"/>
      </w:pPr>
      <w:r>
        <w:rPr>
          <w:rFonts w:ascii="Arial" w:hAnsi="Arial" w:eastAsia="宋体"/>
          <w:b w:val="0"/>
          <w:color w:val="000000"/>
          <w:sz w:val="24"/>
        </w:rPr>
        <w:t>员工在办公场所应遵守以下行为准则：（一）着装整洁得体，符合公司着装要求；（二）保持办公区域整洁，物品摆放有序；（三）工作时间不从事与工作无关的活动，不浏览与工作无关的网站；（四）爱护公司财物，节约使用办公用品和水电资源；（五）遵守办公秩序，不大声喧哗，不影响他人工作；（六）严禁在办公场所吸烟、饮酒或进行赌博等违法违纪活动。</w:t>
      </w:r>
    </w:p>
    <w:p>
      <w:pPr>
        <w:pStyle w:val="Heading2"/>
        <w:spacing w:before="220" w:after="100"/>
        <w:ind w:firstLine="0"/>
        <w:jc w:val="left"/>
      </w:pPr>
      <w:r>
        <w:rPr>
          <w:rFonts w:ascii="Arial" w:hAnsi="Arial" w:eastAsia="黑体"/>
          <w:b/>
          <w:color w:val="000000"/>
          <w:sz w:val="28"/>
        </w:rPr>
        <w:t>第十九条  利益冲突</w:t>
      </w:r>
    </w:p>
    <w:p>
      <w:pPr>
        <w:spacing w:line="360" w:lineRule="auto" w:before="0" w:after="0"/>
        <w:ind w:firstLine="480"/>
        <w:jc w:val="both"/>
      </w:pPr>
      <w:r>
        <w:rPr>
          <w:rFonts w:ascii="Arial" w:hAnsi="Arial" w:eastAsia="宋体"/>
          <w:b w:val="0"/>
          <w:color w:val="000000"/>
          <w:sz w:val="24"/>
        </w:rPr>
        <w:t>员工应避免个人利益与公司利益发生冲突。出现以下情形时，员工应及时向公司书面报告：（一）员工本人或近亲属在与公司有业务往来或竞争关系的企业中持有股份或担任职务；（二）员工利用职务之便为本人或近亲属谋取商业机会；（三）员工接受供应商或客户的礼品、宴请或其他利益，可能影响公正决策的。公司有权要求员工采取措施消除利益冲突，员工拒不配合的，公司可按相关规定处理。</w:t>
      </w:r>
    </w:p>
    <w:p>
      <w:pPr>
        <w:pStyle w:val="Heading1"/>
        <w:spacing w:before="280" w:after="120"/>
        <w:ind w:firstLine="0"/>
        <w:jc w:val="left"/>
      </w:pPr>
      <w:r>
        <w:rPr>
          <w:rFonts w:ascii="Arial" w:hAnsi="Arial" w:eastAsia="黑体"/>
          <w:b/>
          <w:color w:val="000000"/>
          <w:sz w:val="32"/>
        </w:rPr>
        <w:t>第六章  培训与发展</w:t>
      </w:r>
    </w:p>
    <w:p>
      <w:pPr>
        <w:pStyle w:val="Heading2"/>
        <w:spacing w:before="220" w:after="100"/>
        <w:ind w:firstLine="0"/>
        <w:jc w:val="left"/>
      </w:pPr>
      <w:r>
        <w:rPr>
          <w:rFonts w:ascii="Arial" w:hAnsi="Arial" w:eastAsia="黑体"/>
          <w:b/>
          <w:color w:val="000000"/>
          <w:sz w:val="28"/>
        </w:rPr>
        <w:t>第二十条  入职培训</w:t>
      </w:r>
    </w:p>
    <w:p>
      <w:pPr>
        <w:spacing w:line="360" w:lineRule="auto" w:before="0" w:after="0"/>
        <w:ind w:firstLine="480"/>
        <w:jc w:val="both"/>
      </w:pPr>
      <w:r>
        <w:rPr>
          <w:rFonts w:ascii="Arial" w:hAnsi="Arial" w:eastAsia="宋体"/>
          <w:b w:val="0"/>
          <w:color w:val="000000"/>
          <w:sz w:val="24"/>
        </w:rPr>
        <w:t>公司为新员工组织入职培训，培训内容包括：公司概况与发展历程、企业文化与价值观、组织架构与部门职能、规章制度与行为规范、岗位职责与工作流程、安全生产与保密教育、办公系统与工具使用等。入职培训一般在入职后一周内进行，培训结束后进行考核，考核结果作为试用期考核的参考依据。</w:t>
      </w:r>
    </w:p>
    <w:p>
      <w:pPr>
        <w:pStyle w:val="Heading2"/>
        <w:spacing w:before="220" w:after="100"/>
        <w:ind w:firstLine="0"/>
        <w:jc w:val="left"/>
      </w:pPr>
      <w:r>
        <w:rPr>
          <w:rFonts w:ascii="Arial" w:hAnsi="Arial" w:eastAsia="黑体"/>
          <w:b/>
          <w:color w:val="000000"/>
          <w:sz w:val="28"/>
        </w:rPr>
        <w:t>第二十一条  岗位培训</w:t>
      </w:r>
    </w:p>
    <w:p>
      <w:pPr>
        <w:spacing w:line="360" w:lineRule="auto" w:before="0" w:after="0"/>
        <w:ind w:firstLine="480"/>
        <w:jc w:val="both"/>
      </w:pPr>
      <w:r>
        <w:rPr>
          <w:rFonts w:ascii="Arial" w:hAnsi="Arial" w:eastAsia="宋体"/>
          <w:b w:val="0"/>
          <w:color w:val="000000"/>
          <w:sz w:val="24"/>
        </w:rPr>
        <w:t>新员工实行导师制，由部门负责人指定一名资深员工担任导师，负责指导新员工熟悉岗位工作。导师应制定带教计划，明确带教目标和进度安排，定期与新员工沟通并反馈带教情况。新员工应主动学习，积极请教，尽快掌握岗位所需的知识和技能。试用期结束时，导师应对新员工的学习情况和工作表现出具评价意见。</w:t>
      </w:r>
    </w:p>
    <w:p>
      <w:pPr>
        <w:pStyle w:val="Heading2"/>
        <w:spacing w:before="220" w:after="100"/>
        <w:ind w:firstLine="0"/>
        <w:jc w:val="left"/>
      </w:pPr>
      <w:r>
        <w:rPr>
          <w:rFonts w:ascii="Arial" w:hAnsi="Arial" w:eastAsia="黑体"/>
          <w:b/>
          <w:color w:val="000000"/>
          <w:sz w:val="28"/>
        </w:rPr>
        <w:t>第二十二条  职业发展通道</w:t>
      </w:r>
    </w:p>
    <w:p>
      <w:pPr>
        <w:spacing w:line="360" w:lineRule="auto" w:before="0" w:after="0"/>
        <w:ind w:firstLine="480"/>
        <w:jc w:val="both"/>
      </w:pPr>
      <w:r>
        <w:rPr>
          <w:rFonts w:ascii="Arial" w:hAnsi="Arial" w:eastAsia="宋体"/>
          <w:b w:val="0"/>
          <w:color w:val="000000"/>
          <w:sz w:val="24"/>
        </w:rPr>
        <w:t>公司为员工提供管理序列和专业序列双通道职业发展路径。管理序列适用于有志于从事管理工作的员工，从基层管理者到高层管理者逐级晋升；专业序列适用于专注于专业技术领域的员工，从初级专业人员到资深专家逐级晋升。员工可根据自身兴趣和能力选择发展方向，公司为员工提供相应的培训和发展机会。</w:t>
      </w:r>
    </w:p>
    <w:p>
      <w:pPr>
        <w:pStyle w:val="Heading1"/>
        <w:spacing w:before="280" w:after="120"/>
        <w:ind w:firstLine="0"/>
        <w:jc w:val="left"/>
      </w:pPr>
      <w:r>
        <w:rPr>
          <w:rFonts w:ascii="Arial" w:hAnsi="Arial" w:eastAsia="黑体"/>
          <w:b/>
          <w:color w:val="000000"/>
          <w:sz w:val="32"/>
        </w:rPr>
        <w:t>第七章  考核与晋升</w:t>
      </w:r>
    </w:p>
    <w:p>
      <w:pPr>
        <w:pStyle w:val="Heading2"/>
        <w:spacing w:before="220" w:after="100"/>
        <w:ind w:firstLine="0"/>
        <w:jc w:val="left"/>
      </w:pPr>
      <w:r>
        <w:rPr>
          <w:rFonts w:ascii="Arial" w:hAnsi="Arial" w:eastAsia="黑体"/>
          <w:b/>
          <w:color w:val="000000"/>
          <w:sz w:val="28"/>
        </w:rPr>
        <w:t>第二十三条  绩效考核</w:t>
      </w:r>
    </w:p>
    <w:p>
      <w:pPr>
        <w:spacing w:line="360" w:lineRule="auto" w:before="0" w:after="0"/>
        <w:ind w:firstLine="480"/>
        <w:jc w:val="both"/>
      </w:pPr>
      <w:r>
        <w:rPr>
          <w:rFonts w:ascii="Arial" w:hAnsi="Arial" w:eastAsia="宋体"/>
          <w:b w:val="0"/>
          <w:color w:val="000000"/>
          <w:sz w:val="24"/>
        </w:rPr>
        <w:t>公司实行绩效考核制度，考核周期分为月度考核、季度考核和年度考核。考核内容包括工作业绩、工作能力、工作态度和团队协作等方面。考核结果分为优秀、良好、合格、待改进和不合格五个等级。绩效考核结果与绩效工资发放、奖金分配、晋升调薪、培训发展等挂钩。员工对考核结果有异议的，可在收到考核结果后三个工作日内向人力资源部申请复核。</w:t>
      </w:r>
    </w:p>
    <w:p>
      <w:pPr>
        <w:pStyle w:val="Heading2"/>
        <w:spacing w:before="220" w:after="100"/>
        <w:ind w:firstLine="0"/>
        <w:jc w:val="left"/>
      </w:pPr>
      <w:r>
        <w:rPr>
          <w:rFonts w:ascii="Arial" w:hAnsi="Arial" w:eastAsia="黑体"/>
          <w:b/>
          <w:color w:val="000000"/>
          <w:sz w:val="28"/>
        </w:rPr>
        <w:t>第二十四条  晋升机制</w:t>
      </w:r>
    </w:p>
    <w:p>
      <w:pPr>
        <w:spacing w:line="360" w:lineRule="auto" w:before="0" w:after="0"/>
        <w:ind w:firstLine="480"/>
        <w:jc w:val="both"/>
      </w:pPr>
      <w:r>
        <w:rPr>
          <w:rFonts w:ascii="Arial" w:hAnsi="Arial" w:eastAsia="宋体"/>
          <w:b w:val="0"/>
          <w:color w:val="000000"/>
          <w:sz w:val="24"/>
        </w:rPr>
        <w:t>公司晋升坚持德才兼备、注重实绩、公开公平的原则。晋升条件包括：（一）在现岗位工作满一定年限，一般不少于一年；（二）近两次绩效考核结果均为良好及以上；（三）具备拟任岗位所需的专业能力和管理能力；（四）通过公司组织的晋升评审或面试。晋升流程为：个人申请或部门推荐、人力资源部审核、晋升评审、任前公示、正式任命。晋升人员实行试用期制度，试用期一般为三至六个月。</w:t>
      </w:r>
    </w:p>
    <w:p>
      <w:pPr>
        <w:pStyle w:val="Heading2"/>
        <w:spacing w:before="220" w:after="100"/>
        <w:ind w:firstLine="0"/>
        <w:jc w:val="left"/>
      </w:pPr>
      <w:r>
        <w:rPr>
          <w:rFonts w:ascii="Arial" w:hAnsi="Arial" w:eastAsia="黑体"/>
          <w:b/>
          <w:color w:val="000000"/>
          <w:sz w:val="28"/>
        </w:rPr>
        <w:t>第二十五条  调岗管理</w:t>
      </w:r>
    </w:p>
    <w:p>
      <w:pPr>
        <w:spacing w:line="360" w:lineRule="auto" w:before="0" w:after="0"/>
        <w:ind w:firstLine="480"/>
        <w:jc w:val="both"/>
      </w:pPr>
      <w:r>
        <w:rPr>
          <w:rFonts w:ascii="Arial" w:hAnsi="Arial" w:eastAsia="宋体"/>
          <w:b w:val="0"/>
          <w:color w:val="000000"/>
          <w:sz w:val="24"/>
        </w:rPr>
        <w:t>公司根据经营需要和员工个人能力，可对员工进行岗位调整。调岗分为公司调动和个人申请调动两种。公司调动由人力资源部会同相关部门提出方案，报分管领导审批后执行；个人申请调动由员工本人填写调岗申请，经原部门和接收部门负责人同意后，报人力资源部审批。调岗后，员工的薪酬待遇按新岗位标准执行，并可约定试用期。</w:t>
      </w:r>
    </w:p>
    <w:p>
      <w:pPr>
        <w:pStyle w:val="Heading1"/>
        <w:spacing w:before="280" w:after="120"/>
        <w:ind w:firstLine="0"/>
        <w:jc w:val="left"/>
      </w:pPr>
      <w:r>
        <w:rPr>
          <w:rFonts w:ascii="Arial" w:hAnsi="Arial" w:eastAsia="黑体"/>
          <w:b/>
          <w:color w:val="000000"/>
          <w:sz w:val="32"/>
        </w:rPr>
        <w:t>第八章  离职管理</w:t>
      </w:r>
    </w:p>
    <w:p>
      <w:pPr>
        <w:pStyle w:val="Heading2"/>
        <w:spacing w:before="220" w:after="100"/>
        <w:ind w:firstLine="0"/>
        <w:jc w:val="left"/>
      </w:pPr>
      <w:r>
        <w:rPr>
          <w:rFonts w:ascii="Arial" w:hAnsi="Arial" w:eastAsia="黑体"/>
          <w:b/>
          <w:color w:val="000000"/>
          <w:sz w:val="28"/>
        </w:rPr>
        <w:t>第二十六条  辞职</w:t>
      </w:r>
    </w:p>
    <w:p>
      <w:pPr>
        <w:spacing w:line="360" w:lineRule="auto" w:before="0" w:after="0"/>
        <w:ind w:firstLine="480"/>
        <w:jc w:val="both"/>
      </w:pPr>
      <w:r>
        <w:rPr>
          <w:rFonts w:ascii="Arial" w:hAnsi="Arial" w:eastAsia="宋体"/>
          <w:b w:val="0"/>
          <w:color w:val="000000"/>
          <w:sz w:val="24"/>
        </w:rPr>
        <w:t>员工在试用期内辞职的，应提前三日通知公司；转正后辞职的，应提前三十日以书面形式通知公司。员工应填写辞职申请单，说明辞职原因和预计离职日期，按审批权限报批。在通知期内，员工应继续履行工作职责，完成工作交接。未经批准擅自离职的，公司有权追究其违约责任。</w:t>
      </w:r>
    </w:p>
    <w:p>
      <w:pPr>
        <w:pStyle w:val="Heading2"/>
        <w:spacing w:before="220" w:after="100"/>
        <w:ind w:firstLine="0"/>
        <w:jc w:val="left"/>
      </w:pPr>
      <w:r>
        <w:rPr>
          <w:rFonts w:ascii="Arial" w:hAnsi="Arial" w:eastAsia="黑体"/>
          <w:b/>
          <w:color w:val="000000"/>
          <w:sz w:val="28"/>
        </w:rPr>
        <w:t>第二十七条  辞退与解除</w:t>
      </w:r>
    </w:p>
    <w:p>
      <w:pPr>
        <w:spacing w:line="360" w:lineRule="auto" w:before="0" w:after="0"/>
        <w:ind w:firstLine="480"/>
        <w:jc w:val="both"/>
      </w:pPr>
      <w:r>
        <w:rPr>
          <w:rFonts w:ascii="Arial" w:hAnsi="Arial" w:eastAsia="宋体"/>
          <w:b w:val="0"/>
          <w:color w:val="000000"/>
          <w:sz w:val="24"/>
        </w:rPr>
        <w:t>员工有下列情形之一的，公司可以解除劳动合同且不支付经济补偿：（一）在试用期间被证明不符合录用条件的；（二）严重违反公司规章制度的；（三）严重失职、营私舞弊，给公司造成重大损害的；（四）同时与其他用人单位建立劳动关系，对完成本单位工作任务造成严重影响，或经公司提出拒不改正的；（五）以欺诈、胁迫手段或乘人之危，使公司在违背真实意思的情况下订立或变更劳动合同的；（六）被依法追究刑事责任的。公司解除劳动合同应事先通知工会，并向员工出具解除劳动合同证明。</w:t>
      </w:r>
    </w:p>
    <w:p>
      <w:pPr>
        <w:pStyle w:val="Heading2"/>
        <w:spacing w:before="220" w:after="100"/>
        <w:ind w:firstLine="0"/>
        <w:jc w:val="left"/>
      </w:pPr>
      <w:r>
        <w:rPr>
          <w:rFonts w:ascii="Arial" w:hAnsi="Arial" w:eastAsia="黑体"/>
          <w:b/>
          <w:color w:val="000000"/>
          <w:sz w:val="28"/>
        </w:rPr>
        <w:t>第二十八条  离职交接</w:t>
      </w:r>
    </w:p>
    <w:p>
      <w:pPr>
        <w:spacing w:line="360" w:lineRule="auto" w:before="0" w:after="0"/>
        <w:ind w:firstLine="480"/>
        <w:jc w:val="both"/>
      </w:pPr>
      <w:r>
        <w:rPr>
          <w:rFonts w:ascii="Arial" w:hAnsi="Arial" w:eastAsia="宋体"/>
          <w:b w:val="0"/>
          <w:color w:val="000000"/>
          <w:sz w:val="24"/>
        </w:rPr>
        <w:t>员工离职时应办理工作交接手续，交接内容包括：（一）工作职责和正在进行的工作事项；（二）文件资料、客户信息和业务数据；（三）公司财物，包括电脑、办公设备、钥匙、工牌等；（四）未完成的费用报销和借款；（五）其他需要交接的事项。交接完成后，交接双方和监交人应在离职交接清单上签字确认。未办理交接手续擅自离职的，公司有权暂缓发放工资和办理相关手续，造成损失的有权追偿。</w:t>
      </w:r>
    </w:p>
    <w:p>
      <w:pPr>
        <w:pStyle w:val="Heading2"/>
        <w:spacing w:before="220" w:after="100"/>
        <w:ind w:firstLine="0"/>
        <w:jc w:val="left"/>
      </w:pPr>
      <w:r>
        <w:rPr>
          <w:rFonts w:ascii="Arial" w:hAnsi="Arial" w:eastAsia="黑体"/>
          <w:b/>
          <w:color w:val="000000"/>
          <w:sz w:val="28"/>
        </w:rPr>
        <w:t>第二十九条  离职后义务</w:t>
      </w:r>
    </w:p>
    <w:p>
      <w:pPr>
        <w:spacing w:line="360" w:lineRule="auto" w:before="0" w:after="0"/>
        <w:ind w:firstLine="480"/>
        <w:jc w:val="both"/>
      </w:pPr>
      <w:r>
        <w:rPr>
          <w:rFonts w:ascii="Arial" w:hAnsi="Arial" w:eastAsia="宋体"/>
          <w:b w:val="0"/>
          <w:color w:val="000000"/>
          <w:sz w:val="24"/>
        </w:rPr>
        <w:t>员工离职后仍应遵守以下义务：（一）继续履行保密义务，不泄露公司商业秘密；（二）遵守竞业限制约定（如有），不从事与公司有竞争关系的工作；（三）配合公司完成未尽事宜的交接和说明；（四）不得损害公司声誉和利益。公司在员工离职后十五日内为其办理档案和社会保险关系转移手续，并出具离职证明。</w:t>
      </w:r>
    </w:p>
    <w:p>
      <w:pPr>
        <w:pStyle w:val="Heading1"/>
        <w:spacing w:before="280" w:after="120"/>
        <w:ind w:firstLine="0"/>
        <w:jc w:val="left"/>
      </w:pPr>
      <w:r>
        <w:rPr>
          <w:rFonts w:ascii="Arial" w:hAnsi="Arial" w:eastAsia="黑体"/>
          <w:b/>
          <w:color w:val="000000"/>
          <w:sz w:val="32"/>
        </w:rPr>
        <w:t>第九章  附则</w:t>
      </w:r>
    </w:p>
    <w:p>
      <w:pPr>
        <w:pStyle w:val="Heading2"/>
        <w:spacing w:before="220" w:after="100"/>
        <w:ind w:firstLine="0"/>
        <w:jc w:val="left"/>
      </w:pPr>
      <w:r>
        <w:rPr>
          <w:rFonts w:ascii="Arial" w:hAnsi="Arial" w:eastAsia="黑体"/>
          <w:b/>
          <w:color w:val="000000"/>
          <w:sz w:val="28"/>
        </w:rPr>
        <w:t>第三十条  制度解释</w:t>
      </w:r>
    </w:p>
    <w:p>
      <w:pPr>
        <w:spacing w:line="360" w:lineRule="auto" w:before="0" w:after="0"/>
        <w:ind w:firstLine="480"/>
        <w:jc w:val="both"/>
      </w:pPr>
      <w:r>
        <w:rPr>
          <w:rFonts w:ascii="Arial" w:hAnsi="Arial" w:eastAsia="宋体"/>
          <w:b w:val="0"/>
          <w:color w:val="000000"/>
          <w:sz w:val="24"/>
        </w:rPr>
        <w:t>本制度由公司人力资源部负责解释和修订。各部门可根据本制度结合实际情况制定实施细则，但不得与本制度相抵触。本制度未尽事宜，按照国家法律法规和公司其他相关规定执行。本制度与国家法律法规不一致的，以国家法律法规为准。</w:t>
      </w:r>
    </w:p>
    <w:p>
      <w:pPr>
        <w:pStyle w:val="Heading2"/>
        <w:spacing w:before="220" w:after="100"/>
        <w:ind w:firstLine="0"/>
        <w:jc w:val="left"/>
      </w:pPr>
      <w:r>
        <w:rPr>
          <w:rFonts w:ascii="Arial" w:hAnsi="Arial" w:eastAsia="黑体"/>
          <w:b/>
          <w:color w:val="000000"/>
          <w:sz w:val="28"/>
        </w:rPr>
        <w:t>第三十一条  修订与生效</w:t>
      </w:r>
    </w:p>
    <w:p>
      <w:pPr>
        <w:spacing w:line="360" w:lineRule="auto" w:before="0" w:after="0"/>
        <w:ind w:firstLine="480"/>
        <w:jc w:val="both"/>
      </w:pPr>
      <w:r>
        <w:rPr>
          <w:rFonts w:ascii="Arial" w:hAnsi="Arial" w:eastAsia="宋体"/>
          <w:b w:val="0"/>
          <w:color w:val="000000"/>
          <w:sz w:val="24"/>
        </w:rPr>
        <w:t>本制度自发布之日起生效执行。公司可根据经营发展需要和法律法规变化对本制度进行修订，修订后的制度经公司审批后发布实施。本制度生效前已入职的员工，参照本制度执行。</w:t>
      </w:r>
    </w:p>
    <w:p>
      <w:pPr>
        <w:pStyle w:val="Heading2"/>
        <w:spacing w:before="220" w:after="100"/>
        <w:ind w:firstLine="0"/>
        <w:jc w:val="left"/>
      </w:pPr>
      <w:r>
        <w:rPr>
          <w:rFonts w:ascii="Arial" w:hAnsi="Arial" w:eastAsia="黑体"/>
          <w:b/>
          <w:color w:val="000000"/>
          <w:sz w:val="28"/>
        </w:rPr>
        <w:t>修订记录</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Pr>
      <w:tblGrid>
        <w:gridCol w:w="1814"/>
        <w:gridCol w:w="1814"/>
        <w:gridCol w:w="1814"/>
        <w:gridCol w:w="1814"/>
        <w:gridCol w:w="1814"/>
      </w:tblGrid>
      <w:tr>
        <w:tc>
          <w:tcPr>
            <w:tcW w:type="dxa" w:w="1134"/>
            <w:shd w:val="clear" w:color="auto" w:fill="D9D9D9"/>
          </w:tcPr>
          <w:p>
            <w:pPr>
              <w:spacing w:before="0" w:after="0"/>
              <w:ind w:firstLine="0"/>
              <w:jc w:val="center"/>
            </w:pPr>
            <w:r/>
            <w:r>
              <w:rPr>
                <w:rFonts w:ascii="Arial" w:hAnsi="Arial" w:eastAsia="宋体"/>
                <w:b/>
                <w:color w:val="000000"/>
                <w:sz w:val="21"/>
              </w:rPr>
              <w:t>版本号</w:t>
            </w:r>
          </w:p>
        </w:tc>
        <w:tc>
          <w:tcPr>
            <w:tcW w:type="dxa" w:w="1701"/>
            <w:shd w:val="clear" w:color="auto" w:fill="D9D9D9"/>
          </w:tcPr>
          <w:p>
            <w:pPr>
              <w:spacing w:before="0" w:after="0"/>
              <w:ind w:firstLine="0"/>
              <w:jc w:val="center"/>
            </w:pPr>
            <w:r/>
            <w:r>
              <w:rPr>
                <w:rFonts w:ascii="Arial" w:hAnsi="Arial" w:eastAsia="宋体"/>
                <w:b/>
                <w:color w:val="000000"/>
                <w:sz w:val="21"/>
              </w:rPr>
              <w:t>修订日期</w:t>
            </w:r>
          </w:p>
        </w:tc>
        <w:tc>
          <w:tcPr>
            <w:tcW w:type="dxa" w:w="2835"/>
            <w:shd w:val="clear" w:color="auto" w:fill="D9D9D9"/>
          </w:tcPr>
          <w:p>
            <w:pPr>
              <w:spacing w:before="0" w:after="0"/>
              <w:ind w:firstLine="0"/>
              <w:jc w:val="center"/>
            </w:pPr>
            <w:r/>
            <w:r>
              <w:rPr>
                <w:rFonts w:ascii="Arial" w:hAnsi="Arial" w:eastAsia="宋体"/>
                <w:b/>
                <w:color w:val="000000"/>
                <w:sz w:val="21"/>
              </w:rPr>
              <w:t>修订内容</w:t>
            </w:r>
          </w:p>
        </w:tc>
        <w:tc>
          <w:tcPr>
            <w:tcW w:type="dxa" w:w="1417"/>
            <w:shd w:val="clear" w:color="auto" w:fill="D9D9D9"/>
          </w:tcPr>
          <w:p>
            <w:pPr>
              <w:spacing w:before="0" w:after="0"/>
              <w:ind w:firstLine="0"/>
              <w:jc w:val="center"/>
            </w:pPr>
            <w:r/>
            <w:r>
              <w:rPr>
                <w:rFonts w:ascii="Arial" w:hAnsi="Arial" w:eastAsia="宋体"/>
                <w:b/>
                <w:color w:val="000000"/>
                <w:sz w:val="21"/>
              </w:rPr>
              <w:t>修订人</w:t>
            </w:r>
          </w:p>
        </w:tc>
        <w:tc>
          <w:tcPr>
            <w:tcW w:type="dxa" w:w="1417"/>
            <w:shd w:val="clear" w:color="auto" w:fill="D9D9D9"/>
          </w:tcPr>
          <w:p>
            <w:pPr>
              <w:spacing w:before="0" w:after="0"/>
              <w:ind w:firstLine="0"/>
              <w:jc w:val="center"/>
            </w:pPr>
            <w:r/>
            <w:r>
              <w:rPr>
                <w:rFonts w:ascii="Arial" w:hAnsi="Arial" w:eastAsia="宋体"/>
                <w:b/>
                <w:color w:val="000000"/>
                <w:sz w:val="21"/>
              </w:rPr>
              <w:t>审批人</w:t>
            </w:r>
          </w:p>
        </w:tc>
      </w:tr>
      <w:tr>
        <w:tc>
          <w:tcPr>
            <w:tcW w:type="dxa" w:w="1134"/>
          </w:tcPr>
          <w:p>
            <w:pPr>
              <w:spacing w:before="0" w:after="0"/>
              <w:ind w:firstLine="0"/>
              <w:jc w:val="center"/>
            </w:pPr>
            <w:r/>
            <w:r>
              <w:rPr>
                <w:rFonts w:ascii="Arial" w:hAnsi="Arial" w:eastAsia="宋体"/>
                <w:b w:val="0"/>
                <w:color w:val="000000"/>
                <w:sz w:val="21"/>
              </w:rPr>
              <w:t>V1.0</w:t>
            </w:r>
          </w:p>
        </w:tc>
        <w:tc>
          <w:tcPr>
            <w:tcW w:type="dxa" w:w="1701"/>
          </w:tcPr>
          <w:p>
            <w:pPr>
              <w:spacing w:before="0" w:after="0"/>
              <w:ind w:firstLine="0"/>
              <w:jc w:val="center"/>
            </w:pPr>
            <w:r/>
            <w:r>
              <w:rPr>
                <w:rFonts w:ascii="Arial" w:hAnsi="Arial" w:eastAsia="宋体"/>
                <w:b w:val="0"/>
                <w:color w:val="000000"/>
                <w:sz w:val="21"/>
              </w:rPr>
              <w:t>2026年××月××日</w:t>
            </w:r>
          </w:p>
        </w:tc>
        <w:tc>
          <w:tcPr>
            <w:tcW w:type="dxa" w:w="2835"/>
          </w:tcPr>
          <w:p>
            <w:pPr>
              <w:spacing w:before="0" w:after="0"/>
              <w:ind w:firstLine="0"/>
              <w:jc w:val="center"/>
            </w:pPr>
            <w:r/>
            <w:r>
              <w:rPr>
                <w:rFonts w:ascii="Arial" w:hAnsi="Arial" w:eastAsia="宋体"/>
                <w:b w:val="0"/>
                <w:color w:val="000000"/>
                <w:sz w:val="21"/>
              </w:rPr>
              <w:t>首次发布</w:t>
            </w:r>
          </w:p>
        </w:tc>
        <w:tc>
          <w:tcPr>
            <w:tcW w:type="dxa" w:w="1417"/>
          </w:tcPr>
          <w:p>
            <w:pPr>
              <w:spacing w:before="0" w:after="0"/>
              <w:ind w:firstLine="0"/>
              <w:jc w:val="center"/>
            </w:pPr>
            <w:r/>
            <w:r>
              <w:rPr>
                <w:rFonts w:ascii="Arial" w:hAnsi="Arial" w:eastAsia="宋体"/>
                <w:b w:val="0"/>
                <w:color w:val="000000"/>
                <w:sz w:val="21"/>
              </w:rPr>
              <w:t>人力资源部</w:t>
            </w:r>
          </w:p>
        </w:tc>
        <w:tc>
          <w:tcPr>
            <w:tcW w:type="dxa" w:w="1417"/>
          </w:tcPr>
          <w:p>
            <w:pPr>
              <w:spacing w:before="0" w:after="0"/>
              <w:ind w:firstLine="0"/>
              <w:jc w:val="center"/>
            </w:pPr>
            <w:r/>
            <w:r>
              <w:rPr>
                <w:rFonts w:ascii="Arial" w:hAnsi="Arial" w:eastAsia="宋体"/>
                <w:b w:val="0"/>
                <w:color w:val="000000"/>
                <w:sz w:val="21"/>
              </w:rPr>
              <w:t>×××</w:t>
            </w:r>
          </w:p>
        </w:tc>
      </w:tr>
      <w:tr>
        <w:tc>
          <w:tcPr>
            <w:tcW w:type="dxa" w:w="1134"/>
          </w:tcPr>
          <w:p>
            <w:pPr>
              <w:spacing w:before="0" w:after="0"/>
              <w:ind w:firstLine="0"/>
              <w:jc w:val="center"/>
            </w:pPr>
            <w:r/>
            <w:r>
              <w:rPr>
                <w:rFonts w:ascii="Arial" w:hAnsi="Arial" w:eastAsia="宋体"/>
                <w:b w:val="0"/>
                <w:color w:val="000000"/>
                <w:sz w:val="21"/>
              </w:rPr>
            </w:r>
          </w:p>
        </w:tc>
        <w:tc>
          <w:tcPr>
            <w:tcW w:type="dxa" w:w="1701"/>
          </w:tcPr>
          <w:p>
            <w:pPr>
              <w:spacing w:before="0" w:after="0"/>
              <w:ind w:firstLine="0"/>
              <w:jc w:val="center"/>
            </w:pPr>
            <w:r/>
            <w:r>
              <w:rPr>
                <w:rFonts w:ascii="Arial" w:hAnsi="Arial" w:eastAsia="宋体"/>
                <w:b w:val="0"/>
                <w:color w:val="000000"/>
                <w:sz w:val="21"/>
              </w:rPr>
            </w:r>
          </w:p>
        </w:tc>
        <w:tc>
          <w:tcPr>
            <w:tcW w:type="dxa" w:w="2835"/>
          </w:tcPr>
          <w:p>
            <w:pPr>
              <w:spacing w:before="0" w:after="0"/>
              <w:ind w:firstLine="0"/>
              <w:jc w:val="center"/>
            </w:pPr>
            <w:r/>
            <w:r>
              <w:rPr>
                <w:rFonts w:ascii="Arial" w:hAnsi="Arial" w:eastAsia="宋体"/>
                <w:b w:val="0"/>
                <w:color w:val="000000"/>
                <w:sz w:val="21"/>
              </w:rPr>
            </w:r>
          </w:p>
        </w:tc>
        <w:tc>
          <w:tcPr>
            <w:tcW w:type="dxa" w:w="1417"/>
          </w:tcPr>
          <w:p>
            <w:pPr>
              <w:spacing w:before="0" w:after="0"/>
              <w:ind w:firstLine="0"/>
              <w:jc w:val="center"/>
            </w:pPr>
            <w:r/>
            <w:r>
              <w:rPr>
                <w:rFonts w:ascii="Arial" w:hAnsi="Arial" w:eastAsia="宋体"/>
                <w:b w:val="0"/>
                <w:color w:val="000000"/>
                <w:sz w:val="21"/>
              </w:rPr>
            </w:r>
          </w:p>
        </w:tc>
        <w:tc>
          <w:tcPr>
            <w:tcW w:type="dxa" w:w="1417"/>
          </w:tcPr>
          <w:p>
            <w:pPr>
              <w:spacing w:before="0" w:after="0"/>
              <w:ind w:firstLine="0"/>
              <w:jc w:val="center"/>
            </w:pPr>
            <w:r/>
            <w:r>
              <w:rPr>
                <w:rFonts w:ascii="Arial" w:hAnsi="Arial" w:eastAsia="宋体"/>
                <w:b w:val="0"/>
                <w:color w:val="000000"/>
                <w:sz w:val="21"/>
              </w:rPr>
            </w:r>
          </w:p>
        </w:tc>
      </w:tr>
      <w:tr>
        <w:tc>
          <w:tcPr>
            <w:tcW w:type="dxa" w:w="1134"/>
          </w:tcPr>
          <w:p>
            <w:pPr>
              <w:spacing w:before="0" w:after="0"/>
              <w:ind w:firstLine="0"/>
              <w:jc w:val="center"/>
            </w:pPr>
            <w:r/>
            <w:r>
              <w:rPr>
                <w:rFonts w:ascii="Arial" w:hAnsi="Arial" w:eastAsia="宋体"/>
                <w:b w:val="0"/>
                <w:color w:val="000000"/>
                <w:sz w:val="21"/>
              </w:rPr>
            </w:r>
          </w:p>
        </w:tc>
        <w:tc>
          <w:tcPr>
            <w:tcW w:type="dxa" w:w="1701"/>
          </w:tcPr>
          <w:p>
            <w:pPr>
              <w:spacing w:before="0" w:after="0"/>
              <w:ind w:firstLine="0"/>
              <w:jc w:val="center"/>
            </w:pPr>
            <w:r/>
            <w:r>
              <w:rPr>
                <w:rFonts w:ascii="Arial" w:hAnsi="Arial" w:eastAsia="宋体"/>
                <w:b w:val="0"/>
                <w:color w:val="000000"/>
                <w:sz w:val="21"/>
              </w:rPr>
            </w:r>
          </w:p>
        </w:tc>
        <w:tc>
          <w:tcPr>
            <w:tcW w:type="dxa" w:w="2835"/>
          </w:tcPr>
          <w:p>
            <w:pPr>
              <w:spacing w:before="0" w:after="0"/>
              <w:ind w:firstLine="0"/>
              <w:jc w:val="center"/>
            </w:pPr>
            <w:r/>
            <w:r>
              <w:rPr>
                <w:rFonts w:ascii="Arial" w:hAnsi="Arial" w:eastAsia="宋体"/>
                <w:b w:val="0"/>
                <w:color w:val="000000"/>
                <w:sz w:val="21"/>
              </w:rPr>
            </w:r>
          </w:p>
        </w:tc>
        <w:tc>
          <w:tcPr>
            <w:tcW w:type="dxa" w:w="1417"/>
          </w:tcPr>
          <w:p>
            <w:pPr>
              <w:spacing w:before="0" w:after="0"/>
              <w:ind w:firstLine="0"/>
              <w:jc w:val="center"/>
            </w:pPr>
            <w:r/>
            <w:r>
              <w:rPr>
                <w:rFonts w:ascii="Arial" w:hAnsi="Arial" w:eastAsia="宋体"/>
                <w:b w:val="0"/>
                <w:color w:val="000000"/>
                <w:sz w:val="21"/>
              </w:rPr>
            </w:r>
          </w:p>
        </w:tc>
        <w:tc>
          <w:tcPr>
            <w:tcW w:type="dxa" w:w="1417"/>
          </w:tcPr>
          <w:p>
            <w:pPr>
              <w:spacing w:before="0" w:after="0"/>
              <w:ind w:firstLine="0"/>
              <w:jc w:val="center"/>
            </w:pPr>
            <w:r/>
            <w:r>
              <w:rPr>
                <w:rFonts w:ascii="Arial" w:hAnsi="Arial" w:eastAsia="宋体"/>
                <w:b w:val="0"/>
                <w:color w:val="000000"/>
                <w:sz w:val="21"/>
              </w:rPr>
            </w:r>
          </w:p>
        </w:tc>
      </w:tr>
    </w:tbl>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