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C7" w:rsidRDefault="00F61855" w:rsidP="00F61855">
      <w:pPr>
        <w:pStyle w:val="a4"/>
        <w:rPr>
          <w:rFonts w:hint="eastAsia"/>
        </w:rPr>
      </w:pPr>
      <w:r>
        <w:rPr>
          <w:rFonts w:hint="eastAsia"/>
        </w:rPr>
        <w:t>绝对估值法</w:t>
      </w:r>
    </w:p>
    <w:tbl>
      <w:tblPr>
        <w:tblStyle w:val="a3"/>
        <w:tblpPr w:leftFromText="180" w:rightFromText="180" w:horzAnchor="margin" w:tblpY="555"/>
        <w:tblW w:w="29193" w:type="dxa"/>
        <w:tblLook w:val="04A0" w:firstRow="1" w:lastRow="0" w:firstColumn="1" w:lastColumn="0" w:noHBand="0" w:noVBand="1"/>
      </w:tblPr>
      <w:tblGrid>
        <w:gridCol w:w="817"/>
        <w:gridCol w:w="6427"/>
        <w:gridCol w:w="6276"/>
        <w:gridCol w:w="8856"/>
        <w:gridCol w:w="356"/>
        <w:gridCol w:w="266"/>
        <w:gridCol w:w="228"/>
        <w:gridCol w:w="5967"/>
      </w:tblGrid>
      <w:tr w:rsidR="001E0E10" w:rsidTr="003F5B0B">
        <w:trPr>
          <w:trHeight w:val="558"/>
        </w:trPr>
        <w:tc>
          <w:tcPr>
            <w:tcW w:w="817" w:type="dxa"/>
          </w:tcPr>
          <w:p w:rsidR="00673FCE" w:rsidRDefault="00673FCE" w:rsidP="006032C7">
            <w:pPr>
              <w:rPr>
                <w:rFonts w:hint="eastAsia"/>
              </w:rPr>
            </w:pPr>
          </w:p>
        </w:tc>
        <w:tc>
          <w:tcPr>
            <w:tcW w:w="6427" w:type="dxa"/>
          </w:tcPr>
          <w:p w:rsidR="00673FCE" w:rsidRPr="00F61855" w:rsidRDefault="00673FCE" w:rsidP="006032C7">
            <w:pPr>
              <w:rPr>
                <w:rFonts w:hint="eastAsia"/>
              </w:rPr>
            </w:pPr>
          </w:p>
        </w:tc>
        <w:tc>
          <w:tcPr>
            <w:tcW w:w="15130" w:type="dxa"/>
            <w:gridSpan w:val="2"/>
          </w:tcPr>
          <w:p w:rsidR="00673FCE" w:rsidRDefault="00673FCE" w:rsidP="00401E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折现现金流法</w:t>
            </w:r>
            <w:bookmarkStart w:id="0" w:name="_GoBack"/>
            <w:bookmarkEnd w:id="0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DCF</w:t>
            </w:r>
            <w:r>
              <w:rPr>
                <w:rFonts w:hint="eastAsia"/>
              </w:rPr>
              <w:t>）</w:t>
            </w:r>
          </w:p>
        </w:tc>
        <w:tc>
          <w:tcPr>
            <w:tcW w:w="356" w:type="dxa"/>
          </w:tcPr>
          <w:p w:rsidR="00673FCE" w:rsidRDefault="00673FCE" w:rsidP="006032C7"/>
        </w:tc>
        <w:tc>
          <w:tcPr>
            <w:tcW w:w="266" w:type="dxa"/>
          </w:tcPr>
          <w:p w:rsidR="00673FCE" w:rsidRDefault="00673FCE" w:rsidP="006032C7"/>
        </w:tc>
        <w:tc>
          <w:tcPr>
            <w:tcW w:w="228" w:type="dxa"/>
          </w:tcPr>
          <w:p w:rsidR="00673FCE" w:rsidRDefault="00673FCE" w:rsidP="006032C7"/>
        </w:tc>
        <w:tc>
          <w:tcPr>
            <w:tcW w:w="5969" w:type="dxa"/>
          </w:tcPr>
          <w:p w:rsidR="00673FCE" w:rsidRDefault="00673FCE" w:rsidP="006032C7"/>
        </w:tc>
      </w:tr>
      <w:tr w:rsidR="0010770F" w:rsidTr="003F5B0B">
        <w:trPr>
          <w:trHeight w:val="558"/>
        </w:trPr>
        <w:tc>
          <w:tcPr>
            <w:tcW w:w="817" w:type="dxa"/>
          </w:tcPr>
          <w:p w:rsidR="00F61855" w:rsidRPr="00F61855" w:rsidRDefault="00F6185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6427" w:type="dxa"/>
          </w:tcPr>
          <w:p w:rsidR="00F61855" w:rsidRDefault="00F61855" w:rsidP="006032C7">
            <w:r w:rsidRPr="00F61855">
              <w:rPr>
                <w:rFonts w:hint="eastAsia"/>
              </w:rPr>
              <w:t>红利折现模型</w:t>
            </w:r>
            <w:r w:rsidRPr="00F61855">
              <w:rPr>
                <w:rFonts w:hint="eastAsia"/>
              </w:rPr>
              <w:t>DDM</w:t>
            </w:r>
          </w:p>
        </w:tc>
        <w:tc>
          <w:tcPr>
            <w:tcW w:w="6274" w:type="dxa"/>
          </w:tcPr>
          <w:p w:rsidR="00F61855" w:rsidRDefault="005764FD" w:rsidP="005764FD">
            <w:r>
              <w:rPr>
                <w:rFonts w:hint="eastAsia"/>
              </w:rPr>
              <w:t>股利自由现金流折现模型</w:t>
            </w:r>
            <w:r w:rsidRPr="005764FD">
              <w:rPr>
                <w:rFonts w:hint="eastAsia"/>
              </w:rPr>
              <w:t>FCF</w:t>
            </w:r>
            <w:r>
              <w:rPr>
                <w:rFonts w:hint="eastAsia"/>
              </w:rPr>
              <w:t>E</w:t>
            </w:r>
          </w:p>
        </w:tc>
        <w:tc>
          <w:tcPr>
            <w:tcW w:w="8856" w:type="dxa"/>
          </w:tcPr>
          <w:p w:rsidR="00F61855" w:rsidRDefault="002708C8" w:rsidP="00B47934">
            <w:r>
              <w:rPr>
                <w:rFonts w:hint="eastAsia"/>
              </w:rPr>
              <w:t>无杠杆自由现金流折现模型</w:t>
            </w:r>
            <w:r w:rsidR="00B47934">
              <w:rPr>
                <w:rFonts w:hint="eastAsia"/>
              </w:rPr>
              <w:t>FCFF</w:t>
            </w:r>
            <w:r w:rsidR="00B47934">
              <w:rPr>
                <w:rFonts w:hint="eastAsia"/>
              </w:rPr>
              <w:t xml:space="preserve"> /</w:t>
            </w:r>
            <w:r w:rsidR="00673FCE">
              <w:rPr>
                <w:rFonts w:hint="eastAsia"/>
              </w:rPr>
              <w:t>UFCF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552"/>
        </w:trPr>
        <w:tc>
          <w:tcPr>
            <w:tcW w:w="817" w:type="dxa"/>
          </w:tcPr>
          <w:p w:rsidR="00F61855" w:rsidRPr="00F61855" w:rsidRDefault="00F6185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rFonts w:hint="eastAsia"/>
              </w:rPr>
              <w:t>Discounted dividend model</w:t>
            </w:r>
          </w:p>
        </w:tc>
        <w:tc>
          <w:tcPr>
            <w:tcW w:w="6274" w:type="dxa"/>
          </w:tcPr>
          <w:p w:rsidR="00F61855" w:rsidRDefault="005764FD" w:rsidP="006032C7">
            <w:r>
              <w:rPr>
                <w:rFonts w:hint="eastAsia"/>
              </w:rPr>
              <w:t>Free Cash Flow of equity</w:t>
            </w:r>
          </w:p>
        </w:tc>
        <w:tc>
          <w:tcPr>
            <w:tcW w:w="8856" w:type="dxa"/>
          </w:tcPr>
          <w:p w:rsidR="00F61855" w:rsidRDefault="00B47934" w:rsidP="006032C7">
            <w:r>
              <w:rPr>
                <w:rFonts w:hint="eastAsia"/>
              </w:rPr>
              <w:t>Free Cash Flow of equity</w:t>
            </w:r>
            <w:r>
              <w:rPr>
                <w:rFonts w:hint="eastAsia"/>
              </w:rPr>
              <w:t xml:space="preserve"> /</w:t>
            </w:r>
            <w:r w:rsidR="00673FCE">
              <w:rPr>
                <w:rFonts w:hint="eastAsia"/>
              </w:rPr>
              <w:t>Unleveraged free cash flow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5764FD" w:rsidRDefault="005764FD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估计结果</w:t>
            </w:r>
          </w:p>
        </w:tc>
        <w:tc>
          <w:tcPr>
            <w:tcW w:w="6427" w:type="dxa"/>
          </w:tcPr>
          <w:p w:rsidR="005764FD" w:rsidRDefault="00750F3A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股权价值</w:t>
            </w:r>
          </w:p>
        </w:tc>
        <w:tc>
          <w:tcPr>
            <w:tcW w:w="6274" w:type="dxa"/>
          </w:tcPr>
          <w:p w:rsidR="005764FD" w:rsidRDefault="00750F3A" w:rsidP="006032C7">
            <w:r>
              <w:rPr>
                <w:rFonts w:hint="eastAsia"/>
              </w:rPr>
              <w:t>股权</w:t>
            </w:r>
            <w:r w:rsidR="00260CC1">
              <w:rPr>
                <w:rFonts w:hint="eastAsia"/>
              </w:rPr>
              <w:t>价值</w:t>
            </w:r>
          </w:p>
        </w:tc>
        <w:tc>
          <w:tcPr>
            <w:tcW w:w="8856" w:type="dxa"/>
          </w:tcPr>
          <w:p w:rsidR="005764FD" w:rsidRDefault="00B47934" w:rsidP="006032C7">
            <w:r>
              <w:rPr>
                <w:rFonts w:hint="eastAsia"/>
              </w:rPr>
              <w:t>企业价值</w:t>
            </w:r>
          </w:p>
        </w:tc>
        <w:tc>
          <w:tcPr>
            <w:tcW w:w="356" w:type="dxa"/>
          </w:tcPr>
          <w:p w:rsidR="005764FD" w:rsidRDefault="005764FD" w:rsidP="006032C7"/>
        </w:tc>
        <w:tc>
          <w:tcPr>
            <w:tcW w:w="266" w:type="dxa"/>
          </w:tcPr>
          <w:p w:rsidR="005764FD" w:rsidRDefault="005764FD" w:rsidP="006032C7"/>
        </w:tc>
        <w:tc>
          <w:tcPr>
            <w:tcW w:w="228" w:type="dxa"/>
          </w:tcPr>
          <w:p w:rsidR="005764FD" w:rsidRDefault="005764FD" w:rsidP="006032C7"/>
        </w:tc>
        <w:tc>
          <w:tcPr>
            <w:tcW w:w="5969" w:type="dxa"/>
          </w:tcPr>
          <w:p w:rsidR="005764FD" w:rsidRDefault="005764FD" w:rsidP="006032C7"/>
        </w:tc>
      </w:tr>
      <w:tr w:rsidR="0010770F" w:rsidTr="003F5B0B">
        <w:trPr>
          <w:trHeight w:val="449"/>
        </w:trPr>
        <w:tc>
          <w:tcPr>
            <w:tcW w:w="817" w:type="dxa"/>
          </w:tcPr>
          <w:p w:rsidR="00260CC1" w:rsidRDefault="00260CC1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6427" w:type="dxa"/>
          </w:tcPr>
          <w:p w:rsidR="00260CC1" w:rsidRDefault="00750F3A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当前公司的股价</w:t>
            </w:r>
            <w:r>
              <w:rPr>
                <w:rFonts w:hint="eastAsia"/>
              </w:rPr>
              <w:t>，</w:t>
            </w:r>
            <w:r w:rsidR="00260CC1">
              <w:rPr>
                <w:rFonts w:hint="eastAsia"/>
              </w:rPr>
              <w:t>支付给股东的现金红利</w:t>
            </w:r>
          </w:p>
        </w:tc>
        <w:tc>
          <w:tcPr>
            <w:tcW w:w="6274" w:type="dxa"/>
          </w:tcPr>
          <w:p w:rsidR="00260CC1" w:rsidRDefault="00260CC1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股东未来能拿多少钱</w:t>
            </w:r>
          </w:p>
        </w:tc>
        <w:tc>
          <w:tcPr>
            <w:tcW w:w="8856" w:type="dxa"/>
          </w:tcPr>
          <w:p w:rsidR="00260CC1" w:rsidRDefault="006D70DE" w:rsidP="006032C7">
            <w:r>
              <w:rPr>
                <w:rFonts w:hint="eastAsia"/>
              </w:rPr>
              <w:t>向所有出资人（包括债券和股权出资人）进行自由分配的现金流</w:t>
            </w:r>
          </w:p>
        </w:tc>
        <w:tc>
          <w:tcPr>
            <w:tcW w:w="356" w:type="dxa"/>
          </w:tcPr>
          <w:p w:rsidR="00260CC1" w:rsidRDefault="00260CC1" w:rsidP="006032C7"/>
        </w:tc>
        <w:tc>
          <w:tcPr>
            <w:tcW w:w="266" w:type="dxa"/>
          </w:tcPr>
          <w:p w:rsidR="00260CC1" w:rsidRDefault="00260CC1" w:rsidP="006032C7"/>
        </w:tc>
        <w:tc>
          <w:tcPr>
            <w:tcW w:w="228" w:type="dxa"/>
          </w:tcPr>
          <w:p w:rsidR="00260CC1" w:rsidRDefault="00260CC1" w:rsidP="006032C7"/>
        </w:tc>
        <w:tc>
          <w:tcPr>
            <w:tcW w:w="5969" w:type="dxa"/>
          </w:tcPr>
          <w:p w:rsidR="00260CC1" w:rsidRDefault="00260CC1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一般公式</w:t>
            </w:r>
          </w:p>
        </w:tc>
        <w:tc>
          <w:tcPr>
            <w:tcW w:w="6427" w:type="dxa"/>
          </w:tcPr>
          <w:p w:rsidR="00F61855" w:rsidRDefault="00F61855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BEC677" wp14:editId="40D0BAF7">
                  <wp:extent cx="2645518" cy="58102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518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5764FD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A1799D" wp14:editId="27C33462">
                  <wp:extent cx="3438525" cy="59656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9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BB5" w:rsidRDefault="00F02BB5" w:rsidP="006032C7"/>
        </w:tc>
        <w:tc>
          <w:tcPr>
            <w:tcW w:w="8856" w:type="dxa"/>
          </w:tcPr>
          <w:p w:rsidR="00F61855" w:rsidRDefault="00B72784" w:rsidP="006032C7">
            <w:r>
              <w:rPr>
                <w:noProof/>
              </w:rPr>
              <w:drawing>
                <wp:inline distT="0" distB="0" distL="0" distR="0" wp14:anchorId="06BD5DDC" wp14:editId="29C674A0">
                  <wp:extent cx="3727173" cy="44691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532" cy="44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终值的估计</w:t>
            </w:r>
            <w:r>
              <w:rPr>
                <w:rFonts w:hint="eastAsia"/>
              </w:rPr>
              <w:t>TV</w:t>
            </w:r>
          </w:p>
        </w:tc>
        <w:tc>
          <w:tcPr>
            <w:tcW w:w="6427" w:type="dxa"/>
          </w:tcPr>
          <w:p w:rsidR="00F61855" w:rsidRDefault="00F61855" w:rsidP="00F61855">
            <w:pPr>
              <w:rPr>
                <w:rFonts w:hint="eastAsia"/>
              </w:rPr>
            </w:pPr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P</w:t>
            </w:r>
            <w:r w:rsidR="005764FD">
              <w:rPr>
                <w:rFonts w:hint="eastAsia"/>
                <w:vertAlign w:val="subscript"/>
              </w:rPr>
              <w:t>n</w:t>
            </w:r>
          </w:p>
          <w:p w:rsidR="00F61855" w:rsidRDefault="00F61855" w:rsidP="00F61855">
            <w:pPr>
              <w:ind w:left="31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61855" w:rsidRDefault="00F02BB5" w:rsidP="00F618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74DE57" wp14:editId="47827CA2">
                  <wp:extent cx="2076450" cy="533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F61855">
            <w:pPr>
              <w:rPr>
                <w:rFonts w:hint="eastAsia"/>
              </w:rPr>
            </w:pPr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终值倍数法</w:t>
            </w:r>
          </w:p>
          <w:p w:rsidR="00F61855" w:rsidRDefault="00F02BB5" w:rsidP="00F61855">
            <w:r>
              <w:rPr>
                <w:noProof/>
              </w:rPr>
              <w:drawing>
                <wp:inline distT="0" distB="0" distL="0" distR="0" wp14:anchorId="73F42233" wp14:editId="77D0E613">
                  <wp:extent cx="1466850" cy="3238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02BB5" w:rsidRDefault="00F02BB5" w:rsidP="00F02BB5">
            <w:pPr>
              <w:rPr>
                <w:rFonts w:hint="eastAsia"/>
              </w:rPr>
            </w:pPr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TV</w:t>
            </w:r>
          </w:p>
          <w:p w:rsidR="00F02BB5" w:rsidRDefault="00F02BB5" w:rsidP="00F02BB5">
            <w:pPr>
              <w:ind w:left="31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02BB5" w:rsidRDefault="00F02BB5" w:rsidP="00F02B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176828" wp14:editId="310386BF">
                  <wp:extent cx="2066925" cy="56102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56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BB5" w:rsidRDefault="00F02BB5" w:rsidP="00F02BB5">
            <w:pPr>
              <w:rPr>
                <w:rFonts w:hint="eastAsia"/>
              </w:rPr>
            </w:pPr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终值倍数法</w:t>
            </w:r>
          </w:p>
          <w:p w:rsidR="00F61855" w:rsidRDefault="006032C7" w:rsidP="00F02BB5">
            <w:r>
              <w:rPr>
                <w:noProof/>
              </w:rPr>
              <w:drawing>
                <wp:inline distT="0" distB="0" distL="0" distR="0" wp14:anchorId="6F551A69" wp14:editId="2EE323DC">
                  <wp:extent cx="1714500" cy="4095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6" w:type="dxa"/>
          </w:tcPr>
          <w:p w:rsidR="0039443E" w:rsidRDefault="0039443E" w:rsidP="0039443E">
            <w:pPr>
              <w:rPr>
                <w:rFonts w:hint="eastAsia"/>
              </w:rPr>
            </w:pPr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TV</w:t>
            </w:r>
          </w:p>
          <w:p w:rsidR="0039443E" w:rsidRDefault="0039443E" w:rsidP="0039443E">
            <w:pPr>
              <w:ind w:left="31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61855" w:rsidRDefault="0039443E" w:rsidP="0039443E">
            <w:pPr>
              <w:tabs>
                <w:tab w:val="left" w:pos="2301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E3702F" wp14:editId="62539CEE">
                  <wp:extent cx="2038827" cy="42738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04" cy="43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Default="0039443E" w:rsidP="0039443E">
            <w:pPr>
              <w:tabs>
                <w:tab w:val="left" w:pos="2301"/>
              </w:tabs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 xml:space="preserve"> </w:t>
            </w:r>
            <w:r w:rsidRPr="00F61855">
              <w:rPr>
                <w:rFonts w:hint="eastAsia"/>
              </w:rPr>
              <w:t>.</w:t>
            </w:r>
            <w:r w:rsidRPr="00F61855">
              <w:rPr>
                <w:rFonts w:hint="eastAsia"/>
              </w:rPr>
              <w:t>终值倍数法</w:t>
            </w:r>
          </w:p>
          <w:p w:rsidR="0039443E" w:rsidRDefault="0039443E" w:rsidP="0039443E">
            <w:pPr>
              <w:tabs>
                <w:tab w:val="left" w:pos="2301"/>
              </w:tabs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 w:rsidRPr="0039443E">
              <w:t>EBITDA</w:t>
            </w:r>
            <w:r>
              <w:rPr>
                <w:rFonts w:hint="eastAsia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Earnings Before Interest, Taxes, Depreciation and Amortization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39443E" w:rsidRDefault="0039443E" w:rsidP="0039443E">
            <w:pPr>
              <w:tabs>
                <w:tab w:val="left" w:pos="2301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B838D8" wp14:editId="02697CE8">
                  <wp:extent cx="2209800" cy="447675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Default="0039443E" w:rsidP="0039443E">
            <w:pPr>
              <w:tabs>
                <w:tab w:val="left" w:pos="2301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E979DE" wp14:editId="4EF50C39">
                  <wp:extent cx="4251179" cy="19878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179" cy="19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Pr="0039443E" w:rsidRDefault="0039443E" w:rsidP="0039443E">
            <w:pPr>
              <w:tabs>
                <w:tab w:val="left" w:pos="2301"/>
              </w:tabs>
            </w:pP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现金流估计</w:t>
            </w:r>
          </w:p>
        </w:tc>
        <w:tc>
          <w:tcPr>
            <w:tcW w:w="6427" w:type="dxa"/>
          </w:tcPr>
          <w:p w:rsidR="00F61855" w:rsidRDefault="00F6185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红利估计（</w:t>
            </w:r>
            <w:r>
              <w:rPr>
                <w:rFonts w:hint="eastAsia"/>
              </w:rPr>
              <w:t>DPS</w:t>
            </w:r>
            <w:r>
              <w:rPr>
                <w:rFonts w:hint="eastAsia"/>
              </w:rPr>
              <w:t>）</w:t>
            </w:r>
          </w:p>
          <w:p w:rsidR="00F61855" w:rsidRDefault="00F61855" w:rsidP="00F6185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固定红利支付率</w:t>
            </w:r>
          </w:p>
          <w:p w:rsidR="00F61855" w:rsidRDefault="00F61855" w:rsidP="00F618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E2B7A2" wp14:editId="79AB7BEB">
                  <wp:extent cx="1562100" cy="342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F61855">
            <w:pPr>
              <w:rPr>
                <w:rFonts w:hint="eastAsia"/>
              </w:rPr>
            </w:pPr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最大红利支付</w:t>
            </w:r>
          </w:p>
          <w:p w:rsidR="00F61855" w:rsidRDefault="00F61855" w:rsidP="00F61855">
            <w:r>
              <w:rPr>
                <w:noProof/>
              </w:rPr>
              <w:drawing>
                <wp:inline distT="0" distB="0" distL="0" distR="0" wp14:anchorId="42BDDDCF" wp14:editId="08F31636">
                  <wp:extent cx="281940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6032C7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A7B815" wp14:editId="6D4DECBF">
                  <wp:extent cx="3600450" cy="193274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80" cy="193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6180439C" wp14:editId="10AEAAFD">
                  <wp:extent cx="3838575" cy="1024255"/>
                  <wp:effectExtent l="0" t="0" r="9525" b="4445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6" w:type="dxa"/>
          </w:tcPr>
          <w:p w:rsidR="00F61855" w:rsidRDefault="00D07B3B" w:rsidP="006032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 xml:space="preserve">    </w:t>
            </w:r>
            <w:r w:rsidR="00B72784">
              <w:rPr>
                <w:noProof/>
              </w:rPr>
              <w:drawing>
                <wp:inline distT="0" distB="0" distL="0" distR="0" wp14:anchorId="17E2744B" wp14:editId="6594268E">
                  <wp:extent cx="4025348" cy="211517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47" cy="21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pPr>
              <w:rPr>
                <w:rFonts w:hint="eastAsia"/>
              </w:rPr>
            </w:pPr>
          </w:p>
          <w:p w:rsidR="00D07B3B" w:rsidRDefault="00D07B3B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97F019" wp14:editId="02E2D91C">
                  <wp:extent cx="5486400" cy="48196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AFBB8C" wp14:editId="17BAC26E">
                  <wp:extent cx="5486400" cy="924560"/>
                  <wp:effectExtent l="0" t="0" r="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72C1B4E6" wp14:editId="0C45CB93">
                  <wp:extent cx="5486400" cy="455930"/>
                  <wp:effectExtent l="0" t="0" r="0" b="127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永续增长率估计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noProof/>
              </w:rPr>
              <w:drawing>
                <wp:inline distT="0" distB="0" distL="0" distR="0" wp14:anchorId="6C9F8F28" wp14:editId="4043D9AF">
                  <wp:extent cx="1943100" cy="295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F61855" w:rsidP="006032C7"/>
        </w:tc>
        <w:tc>
          <w:tcPr>
            <w:tcW w:w="8856" w:type="dxa"/>
          </w:tcPr>
          <w:p w:rsidR="00F61855" w:rsidRDefault="00F61855" w:rsidP="006032C7"/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折现率估计</w:t>
            </w:r>
          </w:p>
        </w:tc>
        <w:tc>
          <w:tcPr>
            <w:tcW w:w="6427" w:type="dxa"/>
          </w:tcPr>
          <w:p w:rsidR="00F61855" w:rsidRDefault="00F61855" w:rsidP="006032C7">
            <w:pPr>
              <w:rPr>
                <w:rFonts w:hint="eastAsia"/>
              </w:rPr>
            </w:pPr>
            <w:r w:rsidRPr="00F61855">
              <w:rPr>
                <w:rFonts w:hint="eastAsia"/>
              </w:rPr>
              <w:t>股票的预期收益率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投资者的必要报酬率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折现率</w:t>
            </w:r>
          </w:p>
          <w:p w:rsidR="00F61855" w:rsidRDefault="00F6185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CAPM</w:t>
            </w:r>
            <w:r>
              <w:rPr>
                <w:rFonts w:hint="eastAsia"/>
              </w:rPr>
              <w:t>模型</w:t>
            </w:r>
            <w:r w:rsidR="0095301E">
              <w:rPr>
                <w:rFonts w:hint="eastAsia"/>
              </w:rPr>
              <w:t>（</w:t>
            </w:r>
            <w:r w:rsidR="0095301E">
              <w:rPr>
                <w:rFonts w:hint="eastAsia"/>
              </w:rPr>
              <w:t>r</w:t>
            </w:r>
            <w:r w:rsidR="0095301E">
              <w:rPr>
                <w:rFonts w:hint="eastAsia"/>
              </w:rPr>
              <w:t>）</w:t>
            </w:r>
          </w:p>
          <w:p w:rsidR="00F61855" w:rsidRDefault="00F61855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02D47C" wp14:editId="359E5E95">
                  <wp:extent cx="1981200" cy="285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6032C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beta</w:t>
            </w:r>
          </w:p>
          <w:p w:rsidR="00F61855" w:rsidRDefault="00F61855" w:rsidP="006032C7"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79F4330" wp14:editId="53E13FBC">
                  <wp:extent cx="3819525" cy="86510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260CC1" w:rsidRDefault="00260CC1" w:rsidP="00260CC1">
            <w:pPr>
              <w:rPr>
                <w:rFonts w:hint="eastAsia"/>
              </w:rPr>
            </w:pPr>
            <w:r w:rsidRPr="00F61855">
              <w:rPr>
                <w:rFonts w:hint="eastAsia"/>
              </w:rPr>
              <w:t>股票的预期收益率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投资者的必要报酬率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折现率</w:t>
            </w:r>
          </w:p>
          <w:p w:rsidR="00260CC1" w:rsidRDefault="00260CC1" w:rsidP="00260CC1">
            <w:pPr>
              <w:rPr>
                <w:rFonts w:hint="eastAsia"/>
              </w:rPr>
            </w:pPr>
            <w:r>
              <w:rPr>
                <w:rFonts w:hint="eastAsia"/>
              </w:rPr>
              <w:t>CAPM</w:t>
            </w:r>
            <w:r>
              <w:rPr>
                <w:rFonts w:hint="eastAsia"/>
              </w:rPr>
              <w:t>模型</w:t>
            </w:r>
            <w:r w:rsidR="0095301E">
              <w:rPr>
                <w:rFonts w:hint="eastAsia"/>
              </w:rPr>
              <w:t>（</w:t>
            </w:r>
            <w:r w:rsidR="0095301E">
              <w:rPr>
                <w:rFonts w:hint="eastAsia"/>
              </w:rPr>
              <w:t>r</w:t>
            </w:r>
            <w:r w:rsidR="0095301E">
              <w:rPr>
                <w:rFonts w:hint="eastAsia"/>
              </w:rPr>
              <w:t>）</w:t>
            </w:r>
          </w:p>
          <w:p w:rsidR="00260CC1" w:rsidRDefault="00260CC1" w:rsidP="00260CC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56EB17" wp14:editId="38857206">
                  <wp:extent cx="1981200" cy="2857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CC1" w:rsidRDefault="00260CC1" w:rsidP="00260CC1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beta</w:t>
            </w:r>
          </w:p>
          <w:p w:rsidR="00F61855" w:rsidRDefault="00260CC1" w:rsidP="00260C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2743182" wp14:editId="6E9C468E">
                  <wp:extent cx="3819525" cy="86510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6032C7" w:rsidP="006032C7">
            <w:pPr>
              <w:tabs>
                <w:tab w:val="left" w:pos="2370"/>
              </w:tabs>
            </w:pPr>
            <w:r>
              <w:tab/>
            </w:r>
          </w:p>
        </w:tc>
        <w:tc>
          <w:tcPr>
            <w:tcW w:w="8856" w:type="dxa"/>
          </w:tcPr>
          <w:p w:rsidR="00F61855" w:rsidRDefault="0095301E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加权平均资本成本</w:t>
            </w:r>
            <w:r w:rsidR="00EA3AD5">
              <w:rPr>
                <w:rFonts w:hint="eastAsia"/>
              </w:rPr>
              <w:t>（</w:t>
            </w:r>
            <w:r w:rsidR="00EA3AD5">
              <w:rPr>
                <w:rFonts w:hint="eastAsia"/>
              </w:rPr>
              <w:t>WACC</w:t>
            </w:r>
            <w:r w:rsidR="00EA3AD5">
              <w:rPr>
                <w:rFonts w:hint="eastAsia"/>
              </w:rPr>
              <w:t>）</w:t>
            </w:r>
          </w:p>
          <w:p w:rsidR="00EA3AD5" w:rsidRDefault="00EA3AD5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4B98DD" wp14:editId="7B344A0C">
                  <wp:extent cx="3945835" cy="5163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14" cy="52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AD5" w:rsidRDefault="00EA3AD5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债务成本（</w:t>
            </w:r>
            <w:r>
              <w:rPr>
                <w:rFonts w:hint="eastAsia"/>
              </w:rPr>
              <w:t>k</w:t>
            </w:r>
            <w:r w:rsidRPr="00EA3AD5"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）</w:t>
            </w:r>
          </w:p>
          <w:p w:rsidR="00EA3AD5" w:rsidRDefault="00A52FF0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09A0A1" wp14:editId="2C63F41E">
                  <wp:extent cx="5486400" cy="79375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FF0" w:rsidRDefault="00A52FF0" w:rsidP="006032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98DC26" wp14:editId="30424897">
                  <wp:extent cx="5486400" cy="927735"/>
                  <wp:effectExtent l="0" t="0" r="0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FF0" w:rsidRDefault="00A52FF0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股权成本（</w:t>
            </w:r>
            <w:r>
              <w:rPr>
                <w:rFonts w:hint="eastAsia"/>
              </w:rPr>
              <w:t>k</w:t>
            </w:r>
            <w:r w:rsidRPr="00A52FF0"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）</w:t>
            </w:r>
          </w:p>
          <w:p w:rsidR="001E0E10" w:rsidRPr="00A52FF0" w:rsidRDefault="001E0E10" w:rsidP="006032C7">
            <w:r>
              <w:rPr>
                <w:rFonts w:hint="eastAsia"/>
              </w:rPr>
              <w:t xml:space="preserve">  CAPM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应用</w:t>
            </w:r>
          </w:p>
        </w:tc>
        <w:tc>
          <w:tcPr>
            <w:tcW w:w="6427" w:type="dxa"/>
          </w:tcPr>
          <w:p w:rsidR="00F61855" w:rsidRPr="00F61855" w:rsidRDefault="00F61855" w:rsidP="00F61855">
            <w:r w:rsidRPr="00F61855">
              <w:rPr>
                <w:rFonts w:hint="eastAsia"/>
              </w:rPr>
              <w:t>一般应用于有稳定股利政策（比如分红比例稳定）的公司，较多使用稳定红利增长模型</w:t>
            </w:r>
          </w:p>
        </w:tc>
        <w:tc>
          <w:tcPr>
            <w:tcW w:w="6274" w:type="dxa"/>
          </w:tcPr>
          <w:p w:rsidR="00F61855" w:rsidRDefault="00F61855" w:rsidP="006032C7"/>
        </w:tc>
        <w:tc>
          <w:tcPr>
            <w:tcW w:w="8856" w:type="dxa"/>
          </w:tcPr>
          <w:p w:rsidR="00F61855" w:rsidRDefault="00F61855" w:rsidP="006032C7"/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5764FD" w:rsidRDefault="005764FD" w:rsidP="006032C7">
            <w:pPr>
              <w:rPr>
                <w:rFonts w:hint="eastAsia"/>
              </w:rPr>
            </w:pPr>
            <w:r>
              <w:rPr>
                <w:rFonts w:hint="eastAsia"/>
              </w:rPr>
              <w:t>缺陷</w:t>
            </w:r>
          </w:p>
        </w:tc>
        <w:tc>
          <w:tcPr>
            <w:tcW w:w="6427" w:type="dxa"/>
          </w:tcPr>
          <w:p w:rsidR="005764FD" w:rsidRPr="00F61855" w:rsidRDefault="005764FD" w:rsidP="00F61855">
            <w:pPr>
              <w:rPr>
                <w:rFonts w:hint="eastAsia"/>
              </w:rPr>
            </w:pPr>
            <w:r w:rsidRPr="005764FD">
              <w:rPr>
                <w:rFonts w:hint="eastAsia"/>
              </w:rPr>
              <w:t>大部分公司的红利发放政策不稳定，甚至有些公司不方法红利，这样导致估算的预测期现金流偏低，而终值偏高</w:t>
            </w:r>
          </w:p>
        </w:tc>
        <w:tc>
          <w:tcPr>
            <w:tcW w:w="6274" w:type="dxa"/>
          </w:tcPr>
          <w:p w:rsidR="005764FD" w:rsidRDefault="005764FD" w:rsidP="006032C7"/>
        </w:tc>
        <w:tc>
          <w:tcPr>
            <w:tcW w:w="8856" w:type="dxa"/>
          </w:tcPr>
          <w:p w:rsidR="005764FD" w:rsidRDefault="005764FD" w:rsidP="006032C7"/>
        </w:tc>
        <w:tc>
          <w:tcPr>
            <w:tcW w:w="356" w:type="dxa"/>
          </w:tcPr>
          <w:p w:rsidR="005764FD" w:rsidRDefault="005764FD" w:rsidP="006032C7"/>
        </w:tc>
        <w:tc>
          <w:tcPr>
            <w:tcW w:w="266" w:type="dxa"/>
          </w:tcPr>
          <w:p w:rsidR="005764FD" w:rsidRDefault="005764FD" w:rsidP="006032C7"/>
        </w:tc>
        <w:tc>
          <w:tcPr>
            <w:tcW w:w="228" w:type="dxa"/>
          </w:tcPr>
          <w:p w:rsidR="005764FD" w:rsidRDefault="005764FD" w:rsidP="006032C7"/>
        </w:tc>
        <w:tc>
          <w:tcPr>
            <w:tcW w:w="5969" w:type="dxa"/>
          </w:tcPr>
          <w:p w:rsidR="005764FD" w:rsidRDefault="005764FD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>
            <w:pPr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12701" w:type="dxa"/>
            <w:gridSpan w:val="2"/>
          </w:tcPr>
          <w:p w:rsidR="0010770F" w:rsidRDefault="0010770F" w:rsidP="0010770F"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FCFE=DDM</w:t>
            </w:r>
            <w:r>
              <w:rPr>
                <w:rFonts w:hint="eastAsia"/>
              </w:rPr>
              <w:t>，但由于为了（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）保持稳定性（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）未来的投资需求（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）税收影响（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）管理者的利己行为</w:t>
            </w:r>
          </w:p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>
            <w:pPr>
              <w:rPr>
                <w:rFonts w:hint="eastAsia"/>
              </w:rPr>
            </w:pPr>
          </w:p>
        </w:tc>
        <w:tc>
          <w:tcPr>
            <w:tcW w:w="6427" w:type="dxa"/>
          </w:tcPr>
          <w:p w:rsidR="0010770F" w:rsidRPr="005764FD" w:rsidRDefault="0010770F" w:rsidP="0010770F">
            <w:pPr>
              <w:rPr>
                <w:rFonts w:hint="eastAsia"/>
              </w:rPr>
            </w:pPr>
          </w:p>
        </w:tc>
        <w:tc>
          <w:tcPr>
            <w:tcW w:w="15130" w:type="dxa"/>
            <w:gridSpan w:val="2"/>
          </w:tcPr>
          <w:p w:rsidR="0010770F" w:rsidRDefault="003F5B0B" w:rsidP="0010770F">
            <w:r>
              <w:rPr>
                <w:noProof/>
              </w:rPr>
              <w:drawing>
                <wp:inline distT="0" distB="0" distL="0" distR="0" wp14:anchorId="77F0CA23" wp14:editId="4C4F3377">
                  <wp:extent cx="5486400" cy="251587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>
            <w:pPr>
              <w:rPr>
                <w:rFonts w:hint="eastAsia"/>
              </w:rPr>
            </w:pPr>
          </w:p>
        </w:tc>
        <w:tc>
          <w:tcPr>
            <w:tcW w:w="6427" w:type="dxa"/>
          </w:tcPr>
          <w:p w:rsidR="0010770F" w:rsidRPr="005764FD" w:rsidRDefault="0010770F" w:rsidP="0010770F">
            <w:pPr>
              <w:rPr>
                <w:rFonts w:hint="eastAsia"/>
              </w:rPr>
            </w:pPr>
          </w:p>
        </w:tc>
        <w:tc>
          <w:tcPr>
            <w:tcW w:w="6274" w:type="dxa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>
            <w:pPr>
              <w:rPr>
                <w:rFonts w:hint="eastAsia"/>
              </w:rPr>
            </w:pPr>
          </w:p>
        </w:tc>
        <w:tc>
          <w:tcPr>
            <w:tcW w:w="6427" w:type="dxa"/>
          </w:tcPr>
          <w:p w:rsidR="0010770F" w:rsidRPr="005764FD" w:rsidRDefault="0010770F" w:rsidP="0010770F">
            <w:pPr>
              <w:rPr>
                <w:rFonts w:hint="eastAsia"/>
              </w:rPr>
            </w:pPr>
          </w:p>
        </w:tc>
        <w:tc>
          <w:tcPr>
            <w:tcW w:w="6274" w:type="dxa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340"/>
        </w:trPr>
        <w:tc>
          <w:tcPr>
            <w:tcW w:w="817" w:type="dxa"/>
          </w:tcPr>
          <w:p w:rsidR="0010770F" w:rsidRDefault="0010770F" w:rsidP="0010770F">
            <w:pPr>
              <w:rPr>
                <w:rFonts w:hint="eastAsia"/>
              </w:rPr>
            </w:pPr>
          </w:p>
        </w:tc>
        <w:tc>
          <w:tcPr>
            <w:tcW w:w="12701" w:type="dxa"/>
            <w:gridSpan w:val="2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</w:tbl>
    <w:p w:rsidR="00F61855" w:rsidRDefault="00F61855" w:rsidP="00F61855"/>
    <w:p w:rsidR="00F61855" w:rsidRPr="00F61855" w:rsidRDefault="00F61855" w:rsidP="00F61855"/>
    <w:sectPr w:rsidR="00F61855" w:rsidRPr="00F61855" w:rsidSect="00B72784">
      <w:pgSz w:w="31185" w:h="12242" w:orient="landscape" w:code="1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9AB"/>
    <w:multiLevelType w:val="hybridMultilevel"/>
    <w:tmpl w:val="9F1A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57058"/>
    <w:multiLevelType w:val="hybridMultilevel"/>
    <w:tmpl w:val="948C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E5"/>
    <w:rsid w:val="0010770F"/>
    <w:rsid w:val="001E0E10"/>
    <w:rsid w:val="00260CC1"/>
    <w:rsid w:val="002708C8"/>
    <w:rsid w:val="0039443E"/>
    <w:rsid w:val="003E0BE5"/>
    <w:rsid w:val="003F5B0B"/>
    <w:rsid w:val="00401E9F"/>
    <w:rsid w:val="005764FD"/>
    <w:rsid w:val="006032C7"/>
    <w:rsid w:val="00673FCE"/>
    <w:rsid w:val="006D70DE"/>
    <w:rsid w:val="00750F3A"/>
    <w:rsid w:val="0095301E"/>
    <w:rsid w:val="009D0D74"/>
    <w:rsid w:val="00A240DE"/>
    <w:rsid w:val="00A52FF0"/>
    <w:rsid w:val="00B47934"/>
    <w:rsid w:val="00B72784"/>
    <w:rsid w:val="00D07B3B"/>
    <w:rsid w:val="00EA3AD5"/>
    <w:rsid w:val="00F02BB5"/>
    <w:rsid w:val="00F335E3"/>
    <w:rsid w:val="00F5301D"/>
    <w:rsid w:val="00F6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61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61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F618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85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61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61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61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F618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85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6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2020-11-18T12:59:00Z</dcterms:created>
  <dcterms:modified xsi:type="dcterms:W3CDTF">2020-11-18T16:06:00Z</dcterms:modified>
</cp:coreProperties>
</file>