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小型超市管理系统</w:t>
      </w:r>
    </w:p>
    <w:p>
      <w:pPr>
        <w:jc w:val="center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网站说明文档</w:t>
      </w:r>
    </w:p>
    <w:p>
      <w:pPr>
        <w:numPr>
          <w:ilvl w:val="0"/>
          <w:numId w:val="1"/>
        </w:numPr>
        <w:jc w:val="left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开发环境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ASP.NET。开发环境为</w:t>
      </w:r>
      <w:r>
        <w:rPr>
          <w:rFonts w:hint="eastAsia" w:asciiTheme="majorEastAsia" w:hAnsiTheme="majorEastAsia" w:eastAsiaTheme="majorEastAsia" w:cstheme="majorEastAsia"/>
          <w:b/>
          <w:bCs/>
          <w:sz w:val="21"/>
          <w:szCs w:val="21"/>
          <w:lang w:val="en-US" w:eastAsia="zh-CN"/>
        </w:rPr>
        <w:t>Visual Studio 2017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 xml:space="preserve"> Community(版本 15.9.29) 和 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1"/>
          <w:szCs w:val="21"/>
          <w:lang w:val="en-US" w:eastAsia="zh-CN"/>
        </w:rPr>
        <w:t>SQL Server 2019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(版本号:Microsoft SQL Server 2019 (RTM) - 15.0.2000.5 (X64)   Sep 24 2019 13:48:23   Copyright (C) 2019 Microsoft Corporation  Developer Edition (64-bit) on Windows 10 Home China 10.0 &lt;X64&gt; (Build 18363: ) )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default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网站主题和功能</w:t>
      </w:r>
    </w:p>
    <w:p>
      <w:pPr>
        <w:widowControl/>
        <w:spacing w:line="340" w:lineRule="exact"/>
        <w:jc w:val="left"/>
        <w:rPr>
          <w:rFonts w:ascii="宋体" w:hAnsi="宋体" w:cs="宋体"/>
          <w:color w:val="000000"/>
          <w:kern w:val="0"/>
          <w:sz w:val="21"/>
          <w:szCs w:val="21"/>
        </w:rPr>
      </w:pPr>
      <w:r>
        <w:rPr>
          <w:rFonts w:ascii="宋体" w:hAnsi="宋体" w:cs="宋体"/>
          <w:color w:val="000000"/>
          <w:kern w:val="0"/>
          <w:sz w:val="21"/>
          <w:szCs w:val="21"/>
        </w:rPr>
        <w:t>前台销售系统(基本功能)：</w:t>
      </w:r>
    </w:p>
    <w:p>
      <w:pPr>
        <w:widowControl/>
        <w:numPr>
          <w:ilvl w:val="0"/>
          <w:numId w:val="2"/>
        </w:numPr>
        <w:spacing w:line="340" w:lineRule="exact"/>
        <w:jc w:val="left"/>
        <w:rPr>
          <w:rFonts w:ascii="宋体" w:hAnsi="宋体" w:cs="宋体"/>
          <w:color w:val="000000"/>
          <w:kern w:val="0"/>
          <w:sz w:val="21"/>
          <w:szCs w:val="21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</w:rPr>
        <w:t>销售业务：通过直接输入商品名称或商品编号，添加商品到购物车（对于同</w:t>
      </w:r>
      <w:r>
        <w:rPr>
          <w:rFonts w:ascii="宋体" w:hAnsi="宋体" w:cs="宋体"/>
          <w:color w:val="000000"/>
          <w:kern w:val="0"/>
          <w:sz w:val="21"/>
          <w:szCs w:val="21"/>
        </w:rPr>
        <w:t>类多件商品</w:t>
      </w:r>
      <w:r>
        <w:rPr>
          <w:rFonts w:hint="eastAsia" w:ascii="宋体" w:hAnsi="宋体" w:cs="宋体"/>
          <w:color w:val="000000"/>
          <w:kern w:val="0"/>
          <w:sz w:val="21"/>
          <w:szCs w:val="21"/>
        </w:rPr>
        <w:t>采用</w:t>
      </w:r>
      <w:r>
        <w:rPr>
          <w:rFonts w:ascii="宋体" w:hAnsi="宋体" w:cs="宋体"/>
          <w:color w:val="000000"/>
          <w:kern w:val="0"/>
          <w:sz w:val="21"/>
          <w:szCs w:val="21"/>
        </w:rPr>
        <w:t>一次录入</w:t>
      </w:r>
      <w:r>
        <w:rPr>
          <w:rFonts w:hint="eastAsia" w:ascii="宋体" w:hAnsi="宋体" w:cs="宋体"/>
          <w:color w:val="000000"/>
          <w:kern w:val="0"/>
          <w:sz w:val="21"/>
          <w:szCs w:val="21"/>
        </w:rPr>
        <w:t>加数量的方式），自动计算本次交易的总金额。在顾客付款后，自动计算找零，同时保存交易清单（包括交易的流水账号、每类商品的商品名、数量、该类商品的总金额、交易的时间、负责本次收银的员工号）。</w:t>
      </w:r>
    </w:p>
    <w:p>
      <w:pPr>
        <w:widowControl/>
        <w:numPr>
          <w:ilvl w:val="0"/>
          <w:numId w:val="2"/>
        </w:numPr>
        <w:spacing w:line="340" w:lineRule="exact"/>
        <w:jc w:val="left"/>
        <w:rPr>
          <w:rFonts w:ascii="宋体" w:hAnsi="宋体" w:cs="宋体"/>
          <w:color w:val="000000"/>
          <w:kern w:val="0"/>
          <w:sz w:val="21"/>
          <w:szCs w:val="21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</w:rPr>
        <w:t>如果顾客是本店会员并持有本人会员卡，则在交易前先输入会员号，并对所购物品全部实行95折优惠，并将所购物品的总金额累计到该会员的总消费金额中</w:t>
      </w:r>
      <w:r>
        <w:rPr>
          <w:rFonts w:ascii="宋体" w:hAnsi="宋体" w:cs="宋体"/>
          <w:color w:val="000000"/>
          <w:kern w:val="0"/>
          <w:sz w:val="21"/>
          <w:szCs w:val="21"/>
        </w:rPr>
        <w:t xml:space="preserve">。 </w:t>
      </w:r>
      <w:r>
        <w:rPr>
          <w:rFonts w:hint="eastAsia" w:ascii="宋体" w:hAnsi="宋体" w:cs="宋体"/>
          <w:color w:val="000000"/>
          <w:kern w:val="0"/>
          <w:sz w:val="21"/>
          <w:szCs w:val="21"/>
        </w:rPr>
        <w:t>会员卡的有效期限为一年，满一年未续卡者，该会员卡将被注销。</w:t>
      </w:r>
    </w:p>
    <w:p>
      <w:pPr>
        <w:widowControl/>
        <w:numPr>
          <w:ilvl w:val="0"/>
          <w:numId w:val="2"/>
        </w:numPr>
        <w:spacing w:line="340" w:lineRule="exact"/>
        <w:jc w:val="left"/>
        <w:rPr>
          <w:rFonts w:hint="eastAsia" w:ascii="宋体" w:hAnsi="宋体" w:cs="宋体"/>
          <w:color w:val="000000"/>
          <w:kern w:val="0"/>
          <w:sz w:val="21"/>
          <w:szCs w:val="21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</w:rPr>
        <w:t>退货业务，需由具有权限的员工负责。</w:t>
      </w:r>
    </w:p>
    <w:p>
      <w:pPr>
        <w:widowControl/>
        <w:spacing w:before="312" w:beforeLines="100" w:line="340" w:lineRule="exact"/>
        <w:jc w:val="left"/>
        <w:rPr>
          <w:rFonts w:ascii="宋体" w:hAnsi="宋体" w:cs="宋体"/>
          <w:color w:val="000000"/>
          <w:kern w:val="0"/>
          <w:sz w:val="21"/>
          <w:szCs w:val="21"/>
        </w:rPr>
      </w:pPr>
      <w:r>
        <w:rPr>
          <w:rFonts w:ascii="宋体" w:hAnsi="宋体" w:cs="宋体"/>
          <w:color w:val="000000"/>
          <w:kern w:val="0"/>
          <w:sz w:val="21"/>
          <w:szCs w:val="21"/>
        </w:rPr>
        <w:t>后台管理系统(基本功能)：</w:t>
      </w:r>
    </w:p>
    <w:p>
      <w:pPr>
        <w:widowControl/>
        <w:numPr>
          <w:ilvl w:val="0"/>
          <w:numId w:val="2"/>
        </w:numPr>
        <w:spacing w:line="340" w:lineRule="exact"/>
        <w:jc w:val="left"/>
        <w:rPr>
          <w:rFonts w:ascii="宋体" w:hAnsi="宋体" w:cs="宋体"/>
          <w:color w:val="000000"/>
          <w:kern w:val="0"/>
          <w:sz w:val="21"/>
          <w:szCs w:val="21"/>
        </w:rPr>
      </w:pPr>
      <w:r>
        <w:rPr>
          <w:rFonts w:ascii="宋体" w:hAnsi="宋体" w:cs="宋体"/>
          <w:color w:val="000000"/>
          <w:kern w:val="0"/>
          <w:sz w:val="21"/>
          <w:szCs w:val="21"/>
        </w:rPr>
        <w:t xml:space="preserve">进货管理： </w:t>
      </w:r>
      <w:r>
        <w:rPr>
          <w:rFonts w:hint="eastAsia" w:ascii="宋体" w:hAnsi="宋体" w:cs="宋体"/>
          <w:color w:val="000000"/>
          <w:kern w:val="0"/>
          <w:sz w:val="21"/>
          <w:szCs w:val="21"/>
        </w:rPr>
        <w:t>按照</w:t>
      </w:r>
      <w:r>
        <w:rPr>
          <w:rFonts w:ascii="宋体" w:hAnsi="宋体" w:cs="宋体"/>
          <w:color w:val="000000"/>
          <w:kern w:val="0"/>
          <w:sz w:val="21"/>
          <w:szCs w:val="21"/>
        </w:rPr>
        <w:t>进货计划，</w:t>
      </w:r>
      <w:r>
        <w:rPr>
          <w:rFonts w:hint="eastAsia" w:ascii="宋体" w:hAnsi="宋体" w:cs="宋体"/>
          <w:color w:val="000000"/>
          <w:kern w:val="0"/>
          <w:sz w:val="21"/>
          <w:szCs w:val="21"/>
        </w:rPr>
        <w:t>实现商品入库登记</w:t>
      </w:r>
      <w:r>
        <w:rPr>
          <w:rFonts w:ascii="宋体" w:hAnsi="宋体" w:cs="宋体"/>
          <w:color w:val="000000"/>
          <w:kern w:val="0"/>
          <w:sz w:val="21"/>
          <w:szCs w:val="21"/>
        </w:rPr>
        <w:t xml:space="preserve">。 </w:t>
      </w:r>
      <w:r>
        <w:rPr>
          <w:rFonts w:hint="eastAsia" w:ascii="宋体" w:hAnsi="宋体" w:cs="宋体"/>
          <w:color w:val="000000"/>
          <w:kern w:val="0"/>
          <w:sz w:val="21"/>
          <w:szCs w:val="21"/>
        </w:rPr>
        <w:t>并能够</w:t>
      </w:r>
      <w:r>
        <w:rPr>
          <w:rFonts w:ascii="宋体" w:hAnsi="宋体" w:cs="宋体"/>
          <w:color w:val="000000"/>
          <w:kern w:val="0"/>
          <w:sz w:val="21"/>
          <w:szCs w:val="21"/>
        </w:rPr>
        <w:t>综合查询计划进货与入库记录及金额。</w:t>
      </w:r>
    </w:p>
    <w:p>
      <w:pPr>
        <w:widowControl/>
        <w:numPr>
          <w:ilvl w:val="0"/>
          <w:numId w:val="2"/>
        </w:numPr>
        <w:spacing w:line="340" w:lineRule="exact"/>
        <w:jc w:val="left"/>
        <w:rPr>
          <w:rFonts w:ascii="宋体" w:hAnsi="宋体" w:cs="宋体"/>
          <w:color w:val="000000"/>
          <w:kern w:val="0"/>
          <w:sz w:val="21"/>
          <w:szCs w:val="21"/>
        </w:rPr>
      </w:pPr>
      <w:r>
        <w:rPr>
          <w:rFonts w:ascii="宋体" w:hAnsi="宋体" w:cs="宋体"/>
          <w:color w:val="000000"/>
          <w:kern w:val="0"/>
          <w:sz w:val="21"/>
          <w:szCs w:val="21"/>
        </w:rPr>
        <w:t xml:space="preserve">库存管理： 综合查询库存明细记录。 库存状态自动告警提示。如库存过剩、少货、缺货等。软件为您预警，避免库存商品积压损失和缺货。 库存自动盘点计算 </w:t>
      </w:r>
    </w:p>
    <w:p>
      <w:pPr>
        <w:widowControl/>
        <w:numPr>
          <w:ilvl w:val="0"/>
          <w:numId w:val="2"/>
        </w:numPr>
        <w:spacing w:line="340" w:lineRule="exact"/>
        <w:jc w:val="left"/>
        <w:rPr>
          <w:rFonts w:ascii="宋体" w:hAnsi="宋体" w:cs="宋体"/>
          <w:color w:val="000000"/>
          <w:kern w:val="0"/>
          <w:sz w:val="21"/>
          <w:szCs w:val="21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</w:rPr>
        <w:t>财务业务，记录超市的营收</w:t>
      </w:r>
    </w:p>
    <w:p>
      <w:pPr>
        <w:widowControl/>
        <w:numPr>
          <w:ilvl w:val="0"/>
          <w:numId w:val="2"/>
        </w:numPr>
        <w:spacing w:line="340" w:lineRule="exact"/>
        <w:jc w:val="left"/>
        <w:rPr>
          <w:rFonts w:ascii="宋体" w:hAnsi="宋体" w:cs="宋体"/>
          <w:color w:val="000000"/>
          <w:kern w:val="0"/>
          <w:sz w:val="21"/>
          <w:szCs w:val="21"/>
        </w:rPr>
      </w:pPr>
      <w:r>
        <w:rPr>
          <w:rFonts w:ascii="宋体" w:hAnsi="宋体" w:cs="宋体"/>
          <w:color w:val="000000"/>
          <w:kern w:val="0"/>
          <w:sz w:val="21"/>
          <w:szCs w:val="21"/>
        </w:rPr>
        <w:t>销售</w:t>
      </w:r>
      <w:r>
        <w:rPr>
          <w:rFonts w:hint="eastAsia" w:ascii="宋体" w:hAnsi="宋体" w:cs="宋体"/>
          <w:color w:val="000000"/>
          <w:kern w:val="0"/>
          <w:sz w:val="21"/>
          <w:szCs w:val="21"/>
        </w:rPr>
        <w:t>情况分析与销售措施</w:t>
      </w:r>
      <w:r>
        <w:rPr>
          <w:rFonts w:ascii="宋体" w:hAnsi="宋体" w:cs="宋体"/>
          <w:color w:val="000000"/>
          <w:kern w:val="0"/>
          <w:sz w:val="21"/>
          <w:szCs w:val="21"/>
        </w:rPr>
        <w:t>管理： 商品销售</w:t>
      </w:r>
      <w:r>
        <w:rPr>
          <w:rFonts w:hint="eastAsia" w:ascii="宋体" w:hAnsi="宋体" w:cs="宋体"/>
          <w:color w:val="000000"/>
          <w:kern w:val="0"/>
          <w:sz w:val="21"/>
          <w:szCs w:val="21"/>
        </w:rPr>
        <w:t>分为正常</w:t>
      </w:r>
      <w:r>
        <w:rPr>
          <w:rFonts w:ascii="宋体" w:hAnsi="宋体" w:cs="宋体"/>
          <w:color w:val="000000"/>
          <w:kern w:val="0"/>
          <w:sz w:val="21"/>
          <w:szCs w:val="21"/>
        </w:rPr>
        <w:t>、促销</w:t>
      </w:r>
      <w:r>
        <w:rPr>
          <w:rFonts w:hint="eastAsia" w:ascii="宋体" w:hAnsi="宋体" w:cs="宋体"/>
          <w:color w:val="000000"/>
          <w:kern w:val="0"/>
          <w:sz w:val="21"/>
          <w:szCs w:val="21"/>
        </w:rPr>
        <w:t>两种情况</w:t>
      </w:r>
      <w:r>
        <w:rPr>
          <w:rFonts w:ascii="宋体" w:hAnsi="宋体" w:cs="宋体"/>
          <w:color w:val="000000"/>
          <w:kern w:val="0"/>
          <w:sz w:val="21"/>
          <w:szCs w:val="21"/>
        </w:rPr>
        <w:t>。 综合查询各种</w:t>
      </w:r>
      <w:r>
        <w:rPr>
          <w:rFonts w:hint="eastAsia" w:ascii="宋体" w:hAnsi="宋体" w:cs="宋体"/>
          <w:color w:val="000000"/>
          <w:kern w:val="0"/>
          <w:sz w:val="21"/>
          <w:szCs w:val="21"/>
        </w:rPr>
        <w:t>商品的</w:t>
      </w:r>
      <w:r>
        <w:rPr>
          <w:rFonts w:ascii="宋体" w:hAnsi="宋体" w:cs="宋体"/>
          <w:color w:val="000000"/>
          <w:kern w:val="0"/>
          <w:sz w:val="21"/>
          <w:szCs w:val="21"/>
        </w:rPr>
        <w:t>销售明细记录等</w:t>
      </w:r>
      <w:r>
        <w:rPr>
          <w:rFonts w:hint="eastAsia" w:ascii="宋体" w:hAnsi="宋体" w:cs="宋体"/>
          <w:color w:val="000000"/>
          <w:kern w:val="0"/>
          <w:sz w:val="21"/>
          <w:szCs w:val="21"/>
        </w:rPr>
        <w:t>，为每种商品设置相应的销售措施</w:t>
      </w:r>
      <w:r>
        <w:rPr>
          <w:rFonts w:ascii="宋体" w:hAnsi="宋体" w:cs="宋体"/>
          <w:color w:val="000000"/>
          <w:kern w:val="0"/>
          <w:sz w:val="21"/>
          <w:szCs w:val="21"/>
        </w:rPr>
        <w:t>。 按多种方式统计生成销售排行榜</w:t>
      </w:r>
      <w:r>
        <w:rPr>
          <w:rFonts w:hint="eastAsia" w:ascii="宋体" w:hAnsi="宋体" w:cs="宋体"/>
          <w:color w:val="000000"/>
          <w:kern w:val="0"/>
          <w:sz w:val="21"/>
          <w:szCs w:val="21"/>
        </w:rPr>
        <w:t>，</w:t>
      </w:r>
      <w:r>
        <w:rPr>
          <w:rFonts w:ascii="宋体" w:hAnsi="宋体" w:cs="宋体"/>
          <w:color w:val="000000"/>
          <w:kern w:val="0"/>
          <w:sz w:val="21"/>
          <w:szCs w:val="21"/>
        </w:rPr>
        <w:t>灵活</w:t>
      </w:r>
      <w:r>
        <w:rPr>
          <w:rFonts w:hint="eastAsia" w:ascii="宋体" w:hAnsi="宋体" w:cs="宋体"/>
          <w:color w:val="000000"/>
          <w:kern w:val="0"/>
          <w:sz w:val="21"/>
          <w:szCs w:val="21"/>
        </w:rPr>
        <w:t>查看</w:t>
      </w:r>
      <w:r>
        <w:rPr>
          <w:rFonts w:ascii="宋体" w:hAnsi="宋体" w:cs="宋体"/>
          <w:color w:val="000000"/>
          <w:kern w:val="0"/>
          <w:sz w:val="21"/>
          <w:szCs w:val="21"/>
        </w:rPr>
        <w:t xml:space="preserve">商品销售日、月、年报表。  </w:t>
      </w:r>
    </w:p>
    <w:p>
      <w:pPr>
        <w:spacing w:before="312" w:beforeLines="100"/>
        <w:rPr>
          <w:rFonts w:ascii="宋体" w:hAnsi="宋体" w:cs="宋体"/>
          <w:color w:val="000000"/>
          <w:kern w:val="0"/>
          <w:sz w:val="21"/>
          <w:szCs w:val="21"/>
        </w:rPr>
      </w:pPr>
      <w:r>
        <w:rPr>
          <w:rFonts w:ascii="宋体" w:hAnsi="宋体" w:cs="宋体"/>
          <w:color w:val="000000"/>
          <w:kern w:val="0"/>
          <w:sz w:val="21"/>
          <w:szCs w:val="21"/>
        </w:rPr>
        <w:t xml:space="preserve">人员管理： </w:t>
      </w:r>
    </w:p>
    <w:p>
      <w:pPr>
        <w:widowControl/>
        <w:numPr>
          <w:ilvl w:val="0"/>
          <w:numId w:val="2"/>
        </w:numPr>
        <w:spacing w:line="340" w:lineRule="exact"/>
        <w:jc w:val="left"/>
        <w:rPr>
          <w:rFonts w:ascii="宋体" w:hAnsi="宋体" w:cs="宋体"/>
          <w:color w:val="000000"/>
          <w:kern w:val="0"/>
          <w:sz w:val="21"/>
          <w:szCs w:val="21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</w:rPr>
        <w:t>收银</w:t>
      </w:r>
      <w:r>
        <w:rPr>
          <w:rFonts w:ascii="宋体" w:hAnsi="宋体" w:cs="宋体"/>
          <w:color w:val="000000"/>
          <w:kern w:val="0"/>
          <w:sz w:val="21"/>
          <w:szCs w:val="21"/>
        </w:rPr>
        <w:t>员工、</w:t>
      </w:r>
      <w:r>
        <w:rPr>
          <w:rFonts w:hint="eastAsia" w:ascii="宋体" w:hAnsi="宋体" w:cs="宋体"/>
          <w:color w:val="000000"/>
          <w:kern w:val="0"/>
          <w:sz w:val="21"/>
          <w:szCs w:val="21"/>
        </w:rPr>
        <w:t>会员、系统管理员</w:t>
      </w:r>
      <w:r>
        <w:rPr>
          <w:rFonts w:ascii="宋体" w:hAnsi="宋体" w:cs="宋体"/>
          <w:color w:val="000000"/>
          <w:kern w:val="0"/>
          <w:sz w:val="21"/>
          <w:szCs w:val="21"/>
        </w:rPr>
        <w:t>等基本</w:t>
      </w:r>
      <w:r>
        <w:rPr>
          <w:rFonts w:hint="eastAsia" w:ascii="宋体" w:hAnsi="宋体" w:cs="宋体"/>
          <w:color w:val="000000"/>
          <w:kern w:val="0"/>
          <w:sz w:val="21"/>
          <w:szCs w:val="21"/>
        </w:rPr>
        <w:t>人员</w:t>
      </w:r>
      <w:r>
        <w:rPr>
          <w:rFonts w:ascii="宋体" w:hAnsi="宋体" w:cs="宋体"/>
          <w:color w:val="000000"/>
          <w:kern w:val="0"/>
          <w:sz w:val="21"/>
          <w:szCs w:val="21"/>
        </w:rPr>
        <w:t>信息登记管理。 员工操作权限管理</w:t>
      </w:r>
      <w:r>
        <w:rPr>
          <w:rFonts w:hint="eastAsia" w:ascii="宋体" w:hAnsi="宋体" w:cs="宋体"/>
          <w:color w:val="000000"/>
          <w:kern w:val="0"/>
          <w:sz w:val="21"/>
          <w:szCs w:val="21"/>
        </w:rPr>
        <w:t>。</w:t>
      </w:r>
    </w:p>
    <w:p>
      <w:pPr>
        <w:widowControl/>
        <w:numPr>
          <w:ilvl w:val="0"/>
          <w:numId w:val="0"/>
        </w:numPr>
        <w:spacing w:line="340" w:lineRule="exact"/>
        <w:jc w:val="left"/>
        <w:rPr>
          <w:rFonts w:hint="eastAsia" w:ascii="宋体" w:hAnsi="宋体" w:cs="宋体"/>
          <w:color w:val="000000"/>
          <w:kern w:val="0"/>
          <w:sz w:val="21"/>
          <w:szCs w:val="21"/>
        </w:rPr>
      </w:pPr>
    </w:p>
    <w:p>
      <w:pPr>
        <w:widowControl/>
        <w:numPr>
          <w:ilvl w:val="0"/>
          <w:numId w:val="1"/>
        </w:numPr>
        <w:spacing w:line="340" w:lineRule="exact"/>
        <w:ind w:left="0" w:leftChars="0" w:firstLine="0" w:firstLineChars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/>
        </w:rPr>
        <w:t>用到的技术：</w:t>
      </w:r>
    </w:p>
    <w:p>
      <w:pPr>
        <w:widowControl/>
        <w:numPr>
          <w:ilvl w:val="0"/>
          <w:numId w:val="3"/>
        </w:numPr>
        <w:spacing w:line="340" w:lineRule="exact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/>
        </w:rPr>
        <w:t>HTML网页标签。&lt;h&gt; &lt;p&gt; &lt;table&gt; &lt;br/&gt;  &lt;span&gt; &lt;a&gt; &lt;input/&gt; &lt;img&gt;</w:t>
      </w:r>
    </w:p>
    <w:p>
      <w:pPr>
        <w:widowControl/>
        <w:numPr>
          <w:ilvl w:val="0"/>
          <w:numId w:val="0"/>
        </w:numPr>
        <w:spacing w:line="340" w:lineRule="exact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/>
        </w:rPr>
        <w:t>&lt;font&gt; &lt;label&gt; &lt;style&gt; &lt;script&gt;&lt;title&gt; &lt;body&gt; &lt;head&gt; &lt;link&gt;</w:t>
      </w:r>
    </w:p>
    <w:p>
      <w:pPr>
        <w:widowControl/>
        <w:numPr>
          <w:ilvl w:val="0"/>
          <w:numId w:val="3"/>
        </w:numPr>
        <w:spacing w:line="340" w:lineRule="exact"/>
        <w:ind w:left="0" w:leftChars="0" w:firstLine="0" w:firstLineChars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/>
        </w:rPr>
        <w:t>CSS 内联样式表和文档样式表。大部分的CSS都是引用自StyleSheetSupermarket.css这个外部文件。</w:t>
      </w:r>
    </w:p>
    <w:p>
      <w:pPr>
        <w:widowControl/>
        <w:numPr>
          <w:ilvl w:val="0"/>
          <w:numId w:val="0"/>
        </w:numPr>
        <w:spacing w:line="340" w:lineRule="exact"/>
        <w:jc w:val="left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/>
        </w:rPr>
        <w:t>包含了简单选择器，类选择器。</w:t>
      </w:r>
    </w:p>
    <w:p>
      <w:pPr>
        <w:widowControl/>
        <w:numPr>
          <w:ilvl w:val="0"/>
          <w:numId w:val="0"/>
        </w:numPr>
        <w:spacing w:line="340" w:lineRule="exact"/>
        <w:jc w:val="left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340" w:lineRule="exact"/>
        <w:jc w:val="left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340" w:lineRule="exact"/>
        <w:jc w:val="left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340" w:lineRule="exact"/>
        <w:jc w:val="left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340" w:lineRule="exact"/>
        <w:jc w:val="left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220980</wp:posOffset>
            </wp:positionV>
            <wp:extent cx="5272405" cy="4624070"/>
            <wp:effectExtent l="0" t="0" r="635" b="889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numPr>
          <w:ilvl w:val="0"/>
          <w:numId w:val="0"/>
        </w:numPr>
        <w:spacing w:line="340" w:lineRule="exact"/>
        <w:jc w:val="left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-121920</wp:posOffset>
            </wp:positionH>
            <wp:positionV relativeFrom="paragraph">
              <wp:posOffset>4761230</wp:posOffset>
            </wp:positionV>
            <wp:extent cx="3489960" cy="3721100"/>
            <wp:effectExtent l="0" t="0" r="0" b="1270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numPr>
          <w:ilvl w:val="0"/>
          <w:numId w:val="0"/>
        </w:numPr>
        <w:spacing w:line="340" w:lineRule="exact"/>
        <w:jc w:val="left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340" w:lineRule="exact"/>
        <w:jc w:val="left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Theme="majorEastAsia" w:hAnsiTheme="majorEastAsia" w:eastAsiaTheme="majorEastAsia" w:cstheme="majorEastAsia"/>
          <w:sz w:val="21"/>
          <w:szCs w:val="21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创建Global.asax文件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利用Session对象的Start，End统计在线人数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利用Application对象统计累计访问量。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创建日志文件用来记录累计访问量。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4091305"/>
            <wp:effectExtent l="0" t="0" r="190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4037330"/>
            <wp:effectExtent l="0" t="0" r="1460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有会员注册和会员登录界面。利用DOM0和DOM2模型。在客户端用JavaScript进行数据验证。保证会员密码长度不低于6。手机号格式必须为ddd-dddd-dddd，使用正则表达式判断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通过数据库判断登录。注册的时候如果手机号已经被占用，则不能注册。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503680"/>
            <wp:effectExtent l="0" t="0" r="444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350135"/>
            <wp:effectExtent l="0" t="0" r="381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50820" cy="145542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利用ASP.NET的控件。&lt;Button&gt; &lt;TextBox&gt; &lt;DropDownList&gt;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为了保证输入数据库数据的合法性，收银的时候我们从数据库中读出所有的商品，然后用动态加入到下拉框中。这样就保证了不会输入不合法的数据。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我们数据库为了保证数据的一致性，设置了若干触发器。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在插入销售流水之后，自动更新库存。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在插入进货信息后，自动插入入库信息，更新库存。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在更新库存之后，自动更新库存状态(正常，过多，过少)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我们用&lt;asp:Validator&gt; 也可以用来验证输入数据的合法性。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在输入进货信息的时候，判断进货数量必须为正整数，进价必须为正浮点数。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0975" cy="1798320"/>
            <wp:effectExtent l="0" t="0" r="1206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我们用了Button的Click事件，DropDownList的IndexChangIndex事件。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利用了id.innerHTML，可以提前进行排版。然后从数据库中读取的数据用&lt;table&gt;动态生成表格，显示。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我们用CSS统一了&lt;h1&gt; &lt;table&gt;等格式，这样整个网站格式统一。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网站功能丰富，界面美观。不同用户有不同的权限。页面之间转换丰富，十分方便用户使用。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项目代码行数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49880"/>
            <wp:effectExtent l="0" t="0" r="635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WEB部分：4737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SQL部分：</w:t>
      </w:r>
      <w:r>
        <w:rPr>
          <w:rFonts w:hint="eastAsia" w:asciiTheme="minorEastAsia" w:hAnsiTheme="minorEastAsia" w:cstheme="minorEastAsia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454行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共计：5191行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五．部分界面截图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 w:ascii="微软雅黑" w:hAnsi="微软雅黑" w:eastAsia="微软雅黑"/>
          <w:szCs w:val="21"/>
          <w:lang w:val="en-US" w:eastAsia="zh-CN"/>
        </w:rPr>
      </w:pPr>
      <w:r>
        <w:drawing>
          <wp:inline distT="0" distB="0" distL="114300" distR="114300">
            <wp:extent cx="6685915" cy="3618230"/>
            <wp:effectExtent l="0" t="0" r="444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685915" cy="3587115"/>
            <wp:effectExtent l="0" t="0" r="4445" b="952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685915" cy="3587115"/>
            <wp:effectExtent l="0" t="0" r="4445" b="952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685915" cy="3587115"/>
            <wp:effectExtent l="0" t="0" r="4445" b="9525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685915" cy="3587115"/>
            <wp:effectExtent l="0" t="0" r="4445" b="952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685915" cy="3587115"/>
            <wp:effectExtent l="0" t="0" r="444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685915" cy="3587115"/>
            <wp:effectExtent l="0" t="0" r="4445" b="9525"/>
            <wp:docPr id="1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685915" cy="3587115"/>
            <wp:effectExtent l="0" t="0" r="4445" b="952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685915" cy="3587115"/>
            <wp:effectExtent l="0" t="0" r="4445" b="9525"/>
            <wp:docPr id="1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685915" cy="3587115"/>
            <wp:effectExtent l="0" t="0" r="4445" b="9525"/>
            <wp:docPr id="1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685915" cy="3587115"/>
            <wp:effectExtent l="0" t="0" r="4445" b="952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685915" cy="3587115"/>
            <wp:effectExtent l="0" t="0" r="4445" b="9525"/>
            <wp:docPr id="2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685915" cy="3587115"/>
            <wp:effectExtent l="0" t="0" r="4445" b="9525"/>
            <wp:docPr id="2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685915" cy="3587115"/>
            <wp:effectExtent l="0" t="0" r="4445" b="952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685915" cy="3587115"/>
            <wp:effectExtent l="0" t="0" r="4445" b="952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85915" cy="3587115"/>
            <wp:effectExtent l="0" t="0" r="4445" b="9525"/>
            <wp:docPr id="2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3DECE3"/>
    <w:multiLevelType w:val="singleLevel"/>
    <w:tmpl w:val="9B3DECE3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E6769A09"/>
    <w:multiLevelType w:val="singleLevel"/>
    <w:tmpl w:val="E6769A0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00000016"/>
    <w:multiLevelType w:val="multilevel"/>
    <w:tmpl w:val="00000016"/>
    <w:lvl w:ilvl="0" w:tentative="0">
      <w:start w:val="1"/>
      <w:numFmt w:val="bullet"/>
      <w:lvlText w:val=""/>
      <w:lvlJc w:val="left"/>
      <w:pPr>
        <w:tabs>
          <w:tab w:val="left" w:pos="866"/>
        </w:tabs>
        <w:ind w:left="866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86"/>
        </w:tabs>
        <w:ind w:left="128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706"/>
        </w:tabs>
        <w:ind w:left="170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26"/>
        </w:tabs>
        <w:ind w:left="212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46"/>
        </w:tabs>
        <w:ind w:left="254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66"/>
        </w:tabs>
        <w:ind w:left="296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86"/>
        </w:tabs>
        <w:ind w:left="338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06"/>
        </w:tabs>
        <w:ind w:left="380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26"/>
        </w:tabs>
        <w:ind w:left="4226" w:hanging="420"/>
      </w:pPr>
      <w:rPr>
        <w:rFonts w:hint="default" w:ascii="Wingdings" w:hAnsi="Wingdings"/>
      </w:rPr>
    </w:lvl>
  </w:abstractNum>
  <w:abstractNum w:abstractNumId="3">
    <w:nsid w:val="658F888C"/>
    <w:multiLevelType w:val="singleLevel"/>
    <w:tmpl w:val="658F888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D40136"/>
    <w:rsid w:val="075527E3"/>
    <w:rsid w:val="0B7C7D76"/>
    <w:rsid w:val="110B1818"/>
    <w:rsid w:val="13054D55"/>
    <w:rsid w:val="1F5F3DB8"/>
    <w:rsid w:val="29996212"/>
    <w:rsid w:val="2AF91552"/>
    <w:rsid w:val="2E725AB8"/>
    <w:rsid w:val="31F77BA9"/>
    <w:rsid w:val="3A746726"/>
    <w:rsid w:val="3D540E6E"/>
    <w:rsid w:val="3EBE79AA"/>
    <w:rsid w:val="40DF19F4"/>
    <w:rsid w:val="43DB741A"/>
    <w:rsid w:val="46D35A73"/>
    <w:rsid w:val="50E04CD5"/>
    <w:rsid w:val="5D2551A6"/>
    <w:rsid w:val="60785969"/>
    <w:rsid w:val="60D0210D"/>
    <w:rsid w:val="669E0FEF"/>
    <w:rsid w:val="672170A7"/>
    <w:rsid w:val="68C94EDA"/>
    <w:rsid w:val="6BB54F9A"/>
    <w:rsid w:val="772E4B1E"/>
    <w:rsid w:val="77FA0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2020-12-24T15:22:00Z</dcterms:created>
  <dc:creator>Mi Notebook Pro</dc:creator>
  <cp:lastModifiedBy>坚守阵地</cp:lastModifiedBy>
  <dcterms:modified xsi:type="dcterms:W3CDTF">2020-12-26T11:19:59Z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