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562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Curve fitting: perspective from machine learning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00" w:lineRule="auto"/>
        <w:ind w:firstLine="562"/>
        <w:jc w:val="center"/>
        <w:textAlignment w:val="auto"/>
        <w:rPr>
          <w:rFonts w:hint="default" w:ascii="Times New Roman" w:hAnsi="Times New Roman" w:cs="Times New Roman"/>
          <w:b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  <w:t>杨小诺 2018011495 自83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Style w:val="7"/>
          <w:rFonts w:hint="default"/>
          <w:color w:val="FF0000"/>
          <w:lang w:val="en-US" w:eastAsia="zh-CN"/>
        </w:rPr>
        <w:t>问题（1）</w:t>
      </w:r>
      <w:r>
        <w:rPr>
          <w:rFonts w:hint="default" w:ascii="Times New Roman" w:hAnsi="Times New Roman" w:eastAsia="楷体" w:cs="Times New Roman"/>
          <w:lang w:val="en-US" w:eastAsia="zh-CN"/>
        </w:rPr>
        <w:t>：画出</w:t>
      </w:r>
      <w:r>
        <w:rPr>
          <w:rFonts w:hint="default" w:ascii="Times New Roman" w:hAnsi="Times New Roman" w:eastAsia="楷体" w:cs="Times New Roman"/>
          <w:sz w:val="24"/>
          <w:szCs w:val="24"/>
        </w:rPr>
        <w:t>该热敏电阻阻值随温度变化的特性曲线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19400" cy="2794000"/>
            <wp:effectExtent l="0" t="0" r="0" b="6350"/>
            <wp:docPr id="1" name="图片 1" descr="16206315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063153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eastAsia="楷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问题（2）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楷体" w:cs="Times New Roman"/>
          <w:sz w:val="24"/>
          <w:szCs w:val="24"/>
        </w:rPr>
        <w:t>在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（</w:t>
      </w:r>
      <w:r>
        <w:rPr>
          <w:rFonts w:hint="default" w:ascii="Times New Roman" w:hAnsi="Times New Roman" w:eastAsia="楷体" w:cs="Times New Roman"/>
          <w:sz w:val="24"/>
          <w:szCs w:val="24"/>
        </w:rPr>
        <w:t>1）中获得的20</w:t>
      </w:r>
      <w:r>
        <w:rPr>
          <w:rFonts w:hint="default" w:ascii="Times New Roman" w:hAnsi="Times New Roman" w:eastAsia="楷体" w:cs="Times New Roman"/>
          <w:sz w:val="24"/>
          <w:szCs w:val="24"/>
        </w:rPr>
        <w:sym w:font="Symbol" w:char="F0B0"/>
      </w:r>
      <w:r>
        <w:rPr>
          <w:rFonts w:hint="default" w:ascii="Times New Roman" w:hAnsi="Times New Roman" w:eastAsia="楷体" w:cs="Times New Roman"/>
          <w:sz w:val="24"/>
          <w:szCs w:val="24"/>
        </w:rPr>
        <w:t>C~80</w:t>
      </w:r>
      <w:r>
        <w:rPr>
          <w:rFonts w:hint="default" w:ascii="Times New Roman" w:hAnsi="Times New Roman" w:eastAsia="楷体" w:cs="Times New Roman"/>
          <w:sz w:val="24"/>
          <w:szCs w:val="24"/>
        </w:rPr>
        <w:sym w:font="Symbol" w:char="F0B0"/>
      </w:r>
      <w:r>
        <w:rPr>
          <w:rFonts w:hint="default" w:ascii="Times New Roman" w:hAnsi="Times New Roman" w:eastAsia="楷体" w:cs="Times New Roman"/>
          <w:sz w:val="24"/>
          <w:szCs w:val="24"/>
        </w:rPr>
        <w:t>C范围的数据上添加噪声（零均值、标准偏差取500</w:t>
      </w:r>
      <w:r>
        <w:rPr>
          <w:rFonts w:hint="default" w:ascii="Times New Roman" w:hAnsi="Times New Roman" w:eastAsia="楷体" w:cs="Times New Roman"/>
          <w:sz w:val="24"/>
          <w:szCs w:val="24"/>
        </w:rPr>
        <w:sym w:font="Symbol" w:char="F057"/>
      </w:r>
      <w:r>
        <w:rPr>
          <w:rFonts w:hint="default" w:ascii="Times New Roman" w:hAnsi="Times New Roman" w:eastAsia="楷体" w:cs="Times New Roman"/>
          <w:sz w:val="24"/>
          <w:szCs w:val="24"/>
        </w:rPr>
        <w:t>的高斯噪声）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作为训练集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；</w:t>
      </w:r>
      <w:r>
        <w:rPr>
          <w:rFonts w:hint="default" w:ascii="Times New Roman" w:hAnsi="Times New Roman" w:eastAsia="楷体" w:cs="Times New Roman"/>
          <w:sz w:val="24"/>
          <w:szCs w:val="24"/>
        </w:rPr>
        <w:t>采用曲线拟合最小二乘法分别获得模型阶次</w:t>
      </w:r>
      <w:r>
        <w:rPr>
          <w:rFonts w:hint="default" w:ascii="Times New Roman" w:hAnsi="Times New Roman" w:eastAsia="楷体" w:cs="Times New Roman"/>
          <w:position w:val="-8"/>
        </w:rPr>
        <w:object>
          <v:shape id="_x0000_i1025" o:spt="75" type="#_x0000_t75" style="height:15pt;width:76.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sz w:val="24"/>
          <w:szCs w:val="24"/>
        </w:rPr>
        <w:t>时对应的多项式模型；分别计算训练集上和测试集上的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均方</w:t>
      </w:r>
      <w:r>
        <w:rPr>
          <w:rFonts w:hint="default" w:ascii="Times New Roman" w:hAnsi="Times New Roman" w:eastAsia="楷体" w:cs="Times New Roman"/>
          <w:sz w:val="24"/>
          <w:szCs w:val="24"/>
        </w:rPr>
        <w:t>误差，观察训练集和测试集上误差随模型阶次的变化规律并加以讨论</w:t>
      </w:r>
      <w:r>
        <w:rPr>
          <w:rFonts w:hint="default" w:ascii="Times New Roman" w:hAnsi="Times New Roman" w:eastAsia="楷体" w:cs="Times New Roman"/>
          <w:sz w:val="24"/>
          <w:szCs w:val="24"/>
          <w:lang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加入噪声后进行曲线拟合实验，不同阶次时的拟合结果见下方（从左到右、从上到下依次为n = 1，n = 2 … n = 6）。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12" name="图片 12" descr="q2_an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2_ans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11" name="图片 11" descr="q2_an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2_ans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10" name="图片 10" descr="q2_an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2_ans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9" name="图片 9" descr="q2_an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2_ans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8" name="图片 8" descr="q2_an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2_ans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13" name="图片 13" descr="q2_an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2_ans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不同阶次时的MSE见下方（左图为训练集和测试集上MSE，右图为左图蓝色曲线放大结果）。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879725"/>
            <wp:effectExtent l="0" t="0" r="0" b="0"/>
            <wp:docPr id="14" name="图片 14" descr="q2_MSE_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2_MSE_al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879725"/>
            <wp:effectExtent l="0" t="0" r="0" b="0"/>
            <wp:docPr id="15" name="图片 15" descr="q2_MSE_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2_MSE_trai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综合以上实验结果可知：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随着模型阶次n的增大，训练集上MSE逐渐减小，测试集上MSE先减小后增大。这是因为n较小时，模型过于简单，无法准确描述数据集上的特征，n太大时，又出现了过拟合的情况，模型泛化能力不足。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从预测值曲线和实际值曲线上也能看出上面的结论，即n的取值要适中，不能过大或过小。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问题（</w:t>
      </w:r>
      <w:r>
        <w:rPr>
          <w:rFonts w:hint="eastAsia" w:ascii="Times New Roman" w:hAnsi="Times New Roman" w:eastAsia="楷体" w:cs="Times New Roman"/>
          <w:color w:val="FF000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将（2）的内容重复十次，观察并讨论采用不同训练数据给拟合结果带来的影响。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重复实验十次，将这十次实验的结果画在同一张图上，见下方（左图为训练集上MSE，右图为测试集上MSE）。</w:t>
      </w:r>
    </w:p>
    <w:p>
      <w:pPr>
        <w:pStyle w:val="6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879725"/>
            <wp:effectExtent l="0" t="0" r="0" b="0"/>
            <wp:docPr id="19" name="图片 19" descr="q3_MSE_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3_MSE_trai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879725"/>
            <wp:effectExtent l="0" t="0" r="0" b="0"/>
            <wp:docPr id="18" name="图片 18" descr="q3_MSE_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3_MSE_tes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综合以上实验结果可知：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左图中不同曲线见的差距略小，而右图更大，也就是说，噪声强度对测试集拟合结果的影响大于训练集。随着模型阶次的增大，测试集上结果波动越来越大，这也说明模型越复杂，噪声带来的影响越大。</w:t>
      </w:r>
    </w:p>
    <w:p>
      <w:pPr>
        <w:pStyle w:val="6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问题（</w:t>
      </w:r>
      <w:r>
        <w:rPr>
          <w:rFonts w:hint="eastAsia" w:ascii="Times New Roman" w:hAnsi="Times New Roman" w:eastAsia="楷体" w:cs="Times New Roman"/>
          <w:color w:val="FF0000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改变噪声强度（通过改变噪声标准差来实现），重复（2），（3），观察并讨论数据中不同噪声强度给拟合带来的影响。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改变噪声强度，重复（2），结果见下方，其中左侧为训练集上MSE，右侧为测试集上MSE，横坐标代表不同阶次、曲线颜色代表不同噪声强度。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879725"/>
            <wp:effectExtent l="0" t="0" r="0" b="0"/>
            <wp:docPr id="20" name="图片 20" descr="q4_MSE_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4_MSE_trai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879725"/>
            <wp:effectExtent l="0" t="0" r="0" b="0"/>
            <wp:docPr id="21" name="图片 21" descr="q4_MSE_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4_MSE_tes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综合以上实验结果可知：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随着噪声标准差的变大，测试集和训练集的MSE均变大。但任一标准差下，测试集和训练集上MSE的变化趋势与第二问的结论都是类似的，即训练集上MSE随n增大而减小，测试集上MSE只有n大小适中使才比较低。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改变噪声强度，重复（3），结果见下方，左右两图为一组，其中左侧为训练集上MSE，右侧为测试集上MSE，横坐标代表不同阶次、曲线颜色代表不同初始数据。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σ=100时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879725"/>
            <wp:effectExtent l="0" t="0" r="0" b="0"/>
            <wp:docPr id="32" name="图片 32" descr="q4_MSE_train, σ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q4_MSE_train, σ=10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879725"/>
            <wp:effectExtent l="0" t="0" r="0" b="0"/>
            <wp:docPr id="40" name="图片 40" descr="q4_MSE_test, σ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q4_MSE_test, σ=10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σ=500时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879725"/>
            <wp:effectExtent l="0" t="0" r="0" b="0"/>
            <wp:docPr id="35" name="图片 35" descr="q4_MSE_test, σ=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q4_MSE_test, σ=50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879725"/>
            <wp:effectExtent l="0" t="0" r="0" b="0"/>
            <wp:docPr id="41" name="图片 41" descr="q4_MSE_test, σ=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q4_MSE_test, σ=50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σ=1000时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879725"/>
            <wp:effectExtent l="0" t="0" r="0" b="0"/>
            <wp:docPr id="30" name="图片 30" descr="q4_MSE_train, σ=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q4_MSE_train, σ=100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879725"/>
            <wp:effectExtent l="0" t="0" r="0" b="0"/>
            <wp:docPr id="42" name="图片 42" descr="q4_MSE_test, σ=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q4_MSE_test, σ=100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σ=10000时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879725"/>
            <wp:effectExtent l="0" t="0" r="0" b="0"/>
            <wp:docPr id="37" name="图片 37" descr="q4_MSE_test, σ=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q4_MSE_test, σ=1000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879725"/>
            <wp:effectExtent l="0" t="0" r="0" b="0"/>
            <wp:docPr id="43" name="图片 43" descr="q4_MSE_test, σ=1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q4_MSE_test, σ=1000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综合以上实验结果可知：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随着噪声标准差的增大，噪声对测试集和训练集的影响都在变大。同时，比较不同测试集上曲线的最低点可以知道，噪声强度不同，最优的拟合模型阶次也不同，也就是说噪声会影响模型最优参数的选择。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问题（</w:t>
      </w:r>
      <w:r>
        <w:rPr>
          <w:rFonts w:hint="eastAsia" w:ascii="Times New Roman" w:hAnsi="Times New Roman" w:eastAsia="楷体" w:cs="Times New Roman"/>
          <w:color w:val="FF0000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将训练集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范围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进行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调整（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扩大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或缩小）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重复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（3）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内容，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观察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并讨论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由于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采用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不同规模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训练数据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给拟合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学习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结果带来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的影响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将训练集范围调整为10℃到90℃（扩大）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，重复（2），不同阶次时的拟合结果见下方，（从左到右、从上到下依次为n = 1，n = 2 … n = 6）。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50" name="图片 50" descr="q5_ans_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q5_ans_n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49" name="图片 49" descr="q5_ans_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q5_ans_n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48" name="图片 48" descr="q5_ans_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q5_ans_n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47" name="图片 47" descr="q5_ans_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q5_ans_n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46" name="图片 46" descr="q5_ans_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q5_ans_n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51" name="图片 51" descr="q5_ans_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q5_ans_n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不同阶次时的MSE见下方，左图为训练集和测试集上MSE，右图为左图蓝色曲线放大结果。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84170" cy="2618105"/>
            <wp:effectExtent l="0" t="0" r="0" b="0"/>
            <wp:docPr id="52" name="图片 52" descr="q5_2_MSE_all_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q5_2_MSE_all_1090"/>
                    <pic:cNvPicPr>
                      <a:picLocks noChangeAspect="1"/>
                    </pic:cNvPicPr>
                  </pic:nvPicPr>
                  <pic:blipFill>
                    <a:blip r:embed="rId33"/>
                    <a:srcRect t="6417" r="-154" b="2668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581910"/>
            <wp:effectExtent l="0" t="0" r="0" b="0"/>
            <wp:docPr id="53" name="图片 53" descr="q5_2_MSE_train_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q5_2_MSE_train_1090"/>
                    <pic:cNvPicPr>
                      <a:picLocks noChangeAspect="1"/>
                    </pic:cNvPicPr>
                  </pic:nvPicPr>
                  <pic:blipFill>
                    <a:blip r:embed="rId34"/>
                    <a:srcRect t="7034" b="330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将训练集范围调整为30℃到70℃（缩小）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，重复（2），不同阶次时的拟合结果见下方，（从左到右、从上到下依次为n = 1，n = 2 … n = 6）。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70" name="图片 70" descr="q5_ans_n1_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q5_ans_n1_307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69" name="图片 69" descr="q5_ans_n2_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q5_ans_n2_307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68" name="图片 68" descr="q5_ans_n3_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q5_ans_n3_307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67" name="图片 67" descr="q5_ans_n4_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q5_ans_n4_307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66" name="图片 66" descr="q5_ans_n5_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q5_ans_n5_307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1800225" cy="1800225"/>
            <wp:effectExtent l="0" t="0" r="0" b="0"/>
            <wp:docPr id="71" name="图片 71" descr="q5_ans_n6_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q5_ans_n6_307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不同阶次时的MSE见下方，上方两图中，左图为训练集和测试集上MSE，右图为左图蓝色曲线放大结果，下方两图为上方两图n=1\2\3时的放大。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520315" cy="2514600"/>
            <wp:effectExtent l="0" t="0" r="0" b="0"/>
            <wp:docPr id="74" name="图片 74" descr="q5_2_MSE_all_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q5_2_MSE_all_3070"/>
                    <pic:cNvPicPr>
                      <a:picLocks noChangeAspect="1"/>
                    </pic:cNvPicPr>
                  </pic:nvPicPr>
                  <pic:blipFill>
                    <a:blip r:embed="rId41"/>
                    <a:srcRect t="22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520315" cy="2520315"/>
            <wp:effectExtent l="0" t="0" r="0" b="0"/>
            <wp:docPr id="73" name="图片 73" descr="q5_2_MSE_train_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q5_2_MSE_train_3070"/>
                    <pic:cNvPicPr>
                      <a:picLocks noChangeAspect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520315" cy="2348230"/>
            <wp:effectExtent l="0" t="0" r="0" b="0"/>
            <wp:docPr id="76" name="图片 76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t1"/>
                    <pic:cNvPicPr>
                      <a:picLocks noChangeAspect="1"/>
                    </pic:cNvPicPr>
                  </pic:nvPicPr>
                  <pic:blipFill>
                    <a:blip r:embed="rId43"/>
                    <a:srcRect t="682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520315" cy="2347595"/>
            <wp:effectExtent l="0" t="0" r="0" b="0"/>
            <wp:docPr id="77" name="图片 77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t2"/>
                    <pic:cNvPicPr>
                      <a:picLocks noChangeAspect="1"/>
                    </pic:cNvPicPr>
                  </pic:nvPicPr>
                  <pic:blipFill>
                    <a:blip r:embed="rId42"/>
                    <a:srcRect t="685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综合以上实验结果可知：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改变训练集占总数据集的比例时，MSE曲线整体走势与第（2）问结果类似，都是与n相关联的、下凹型曲线；并且随着训练集占总数据集的比例增大，测试集上MSE的曲线呈现右移的趋势，也就是最低MSE对应的n值逐渐增大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此外，随着训练集范围扩大，也就是随着用于训练的数据逐渐增多，不同阶次模型的整体效果都有提升，n较大时这一点尤为明显。总的来说：更多的训练数据有利于提高模型拟合效果，特别地，模型较复杂时，更多的训练数据还可以防止过拟合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将训练集范围调整为10℃到90℃（扩大），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重复（3），实验结果见下方（左图为训练集上MSE，右图为测试集上MSE，不同颜色的曲线表示不同初始数据得到的结果）。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712720"/>
            <wp:effectExtent l="0" t="0" r="0" b="0"/>
            <wp:docPr id="54" name="图片 54" descr="q5_3_MSE_test_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q5_3_MSE_test_1090"/>
                    <pic:cNvPicPr>
                      <a:picLocks noChangeAspect="1"/>
                    </pic:cNvPicPr>
                  </pic:nvPicPr>
                  <pic:blipFill>
                    <a:blip r:embed="rId44"/>
                    <a:srcRect t="579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713355"/>
            <wp:effectExtent l="0" t="0" r="0" b="0"/>
            <wp:docPr id="55" name="图片 55" descr="q5_3_MSE_train_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q5_3_MSE_train_1090"/>
                    <pic:cNvPicPr>
                      <a:picLocks noChangeAspect="1"/>
                    </pic:cNvPicPr>
                  </pic:nvPicPr>
                  <pic:blipFill>
                    <a:blip r:embed="rId45"/>
                    <a:srcRect t="577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将训练集范围调整为30℃到70℃（减小），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重复（3），实验结果见下方（左图为训练集上MSE，右图为测试集上MSE，不同颜色的曲线表示不同初始数据得到的结果）。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653665"/>
            <wp:effectExtent l="0" t="0" r="0" b="0"/>
            <wp:docPr id="75" name="图片 75" descr="q5_3_MSE_train_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q5_3_MSE_train_3070"/>
                    <pic:cNvPicPr>
                      <a:picLocks noChangeAspect="1"/>
                    </pic:cNvPicPr>
                  </pic:nvPicPr>
                  <pic:blipFill>
                    <a:blip r:embed="rId46"/>
                    <a:srcRect t="785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2879725" cy="2683510"/>
            <wp:effectExtent l="0" t="0" r="0" b="0"/>
            <wp:docPr id="72" name="图片 72" descr="q5_3_MSE_test_3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q5_3_MSE_test_3070"/>
                    <pic:cNvPicPr>
                      <a:picLocks noChangeAspect="1"/>
                    </pic:cNvPicPr>
                  </pic:nvPicPr>
                  <pic:blipFill>
                    <a:blip r:embed="rId47"/>
                    <a:srcRect t="681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综合以上实验结果可知：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随着训练集占总数据集的比例增大，模型的抗干扰能力增强，不同初始数据下结果的波动变小。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问题（</w:t>
      </w:r>
      <w:r>
        <w:rPr>
          <w:rFonts w:hint="eastAsia" w:cs="Times New Roman"/>
          <w:color w:val="FF0000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  <w:t>）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如实验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前已事先</w:t>
      </w:r>
      <w:bookmarkStart w:id="0" w:name="_GoBack"/>
      <w:bookmarkEnd w:id="0"/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了解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热敏电阻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测温机理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并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掌握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其阻值与温度的关系符合（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式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所描述的模型，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你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将如何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考虑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从实验数据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获得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热敏电阻的阻值与温度关系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模型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>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由问题（1）：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Ansi="Cambria Math" w:cs="Times New Roman"/>
          <w:i w:val="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(</m:t>
              </m:r>
              <m:f>
                <m:fPr>
                  <m:ctrlPr>
                    <m:rPr/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−</m:t>
              </m:r>
              <m:f>
                <m:fPr>
                  <m:ctrlPr>
                    <m:rPr/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m:rPr/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sSub>
                    <m:sSubP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 w:eastAsia="zh-CN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 w:eastAsia="zh-CN"/>
                        </w:rPr>
                        <m:t>0</m:t>
                      </m:r>
                      <m:ctrlPr>
                        <m:rPr/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p>
              <m:r>
                <m:rPr/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β</m:t>
              </m:r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(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t+273.15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−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4"/>
                          <w:szCs w:val="24"/>
                          <w:lang w:val="en-US" w:eastAsia="zh-CN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4"/>
                          <w:szCs w:val="24"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+273.15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p>
          </m:sSup>
        </m:oMath>
      </m:oMathPara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hAnsi="Cambria Math" w:cs="Times New Roman"/>
          <w:i w:val="0"/>
          <w:sz w:val="24"/>
          <w:szCs w:val="24"/>
          <w:lang w:val="en-US" w:eastAsia="zh-CN"/>
        </w:rPr>
      </w:pPr>
      <w:r>
        <w:rPr>
          <w:rFonts w:hint="eastAsia" w:hAnsi="Cambria Math" w:cs="Times New Roman"/>
          <w:i w:val="0"/>
          <w:sz w:val="24"/>
          <w:szCs w:val="24"/>
          <w:lang w:val="en-US" w:eastAsia="zh-CN"/>
        </w:rPr>
        <w:t>取ln，得：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Ansi="Cambria Math" w:cs="Times New Roman"/>
          <w:i w:val="0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ln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=</m:t>
          </m:r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β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t+273.15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+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ln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−</m:t>
          </m:r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β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+273.15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hAnsi="Cambria Math" w:cs="Times New Roman"/>
          <w:i w:val="0"/>
          <w:sz w:val="24"/>
          <w:szCs w:val="24"/>
          <w:lang w:val="en-US" w:eastAsia="zh-CN"/>
        </w:rPr>
      </w:pPr>
      <w:r>
        <w:rPr>
          <w:rFonts w:hint="eastAsia" w:hAnsi="Cambria Math" w:cs="Times New Roman"/>
          <w:i w:val="0"/>
          <w:sz w:val="24"/>
          <w:szCs w:val="24"/>
          <w:lang w:val="en-US" w:eastAsia="zh-CN"/>
        </w:rPr>
        <w:t xml:space="preserve">令 </w:t>
      </w:r>
      <m:oMath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x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</m:t>
        </m:r>
        <m:f>
          <m:f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t+273.15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en-US" w:eastAsia="zh-CN"/>
              </w:rPr>
            </m:ctrlPr>
          </m:den>
        </m:f>
      </m:oMath>
      <w:r>
        <w:rPr>
          <w:rFonts w:hint="eastAsia" w:hAnsi="Cambria Math" w:cs="Times New Roman"/>
          <w:i w:val="0"/>
          <w:sz w:val="24"/>
          <w:szCs w:val="24"/>
          <w:lang w:val="en-US" w:eastAsia="zh-CN"/>
        </w:rPr>
        <w:t>，</w:t>
      </w:r>
      <m:oMath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y</m:t>
        </m:r>
        <m:r>
          <m:rPr>
            <m:sty m:val="p"/>
          </m:rPr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R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4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ub>
        </m:sSub>
      </m:oMath>
      <w:r>
        <w:rPr>
          <w:rFonts w:hint="eastAsia" w:hAnsi="Cambria Math" w:cs="Times New Roman"/>
          <w:i w:val="0"/>
          <w:sz w:val="24"/>
          <w:szCs w:val="24"/>
          <w:lang w:val="en-US" w:eastAsia="zh-CN"/>
        </w:rPr>
        <w:t>，则有：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hAnsi="Cambria Math" w:cs="Times New Roman"/>
          <w:i w:val="0"/>
          <w:sz w:val="24"/>
          <w:szCs w:val="24"/>
          <w:lang w:val="en-US" w:eastAsia="zh-CN"/>
        </w:rPr>
      </w:pPr>
      <m:oMathPara>
        <m:oMath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y=</m:t>
          </m:r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β</m:t>
          </m:r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x</m:t>
          </m:r>
          <m:r>
            <m:rPr>
              <m:sty m:val="p"/>
            </m:rPr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+ln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0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4"/>
              <w:szCs w:val="24"/>
              <w:lang w:val="en-US" w:eastAsia="zh-CN"/>
            </w:rPr>
            <m:t>−</m:t>
          </m:r>
          <m:r>
            <m:rPr/>
            <w:rPr>
              <w:rFonts w:ascii="Cambria Math" w:hAnsi="Cambria Math" w:cs="Times New Roman"/>
              <w:sz w:val="24"/>
              <w:szCs w:val="24"/>
              <w:lang w:val="en-US"/>
            </w:rPr>
            <m:t>β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  <w:lang w:val="en-US" w:eastAsia="zh-CN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sz w:val="24"/>
                      <w:szCs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4"/>
                  <w:szCs w:val="24"/>
                  <w:lang w:val="en-US" w:eastAsia="zh-CN"/>
                </w:rPr>
                <m:t>+273.15</m:t>
              </m:r>
              <m:ctrlPr>
                <w:rPr>
                  <w:rFonts w:hint="default" w:ascii="Cambria Math" w:hAnsi="Cambria Math" w:cs="Times New Roman"/>
                  <w:i/>
                  <w:sz w:val="24"/>
                  <w:szCs w:val="24"/>
                  <w:lang w:val="en-US" w:eastAsia="zh-CN"/>
                </w:rPr>
              </m:ctrlPr>
            </m:den>
          </m:f>
        </m:oMath>
      </m:oMathPara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m:rPr/>
        <w:rPr>
          <w:rFonts w:hint="eastAsia" w:hAnsi="Cambria Math" w:cs="Times New Roman"/>
          <w:i w:val="0"/>
          <w:sz w:val="24"/>
          <w:szCs w:val="24"/>
          <w:lang w:val="en-US" w:eastAsia="zh-CN"/>
        </w:rPr>
      </w:pPr>
      <w:r>
        <w:rPr>
          <w:rFonts w:hint="eastAsia" w:hAnsi="Cambria Math" w:cs="Times New Roman"/>
          <w:i w:val="0"/>
          <w:sz w:val="24"/>
          <w:szCs w:val="24"/>
          <w:lang w:val="en-US" w:eastAsia="zh-CN"/>
        </w:rPr>
        <w:t>由最小二乘法，用直线拟合</w:t>
      </w:r>
      <m:oMath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x</m:t>
        </m:r>
        <m:r>
          <m:rPr/>
          <w:rPr>
            <w:rFonts w:hint="eastAsia" w:ascii="Cambria Math" w:hAnsi="Cambria Math" w:cs="Times New Roman"/>
            <w:sz w:val="24"/>
            <w:szCs w:val="24"/>
            <w:lang w:val="en-US" w:eastAsia="zh-CN"/>
          </w:rPr>
          <m:t>，</m:t>
        </m:r>
        <m:r>
          <m:rPr/>
          <w:rPr>
            <w:rFonts w:hint="default" w:ascii="Cambria Math" w:hAnsi="Cambria Math" w:cs="Times New Roman"/>
            <w:sz w:val="24"/>
            <w:szCs w:val="24"/>
            <w:lang w:val="en-US" w:eastAsia="zh-CN"/>
          </w:rPr>
          <m:t>y</m:t>
        </m:r>
      </m:oMath>
      <w:r>
        <m:rPr/>
        <w:rPr>
          <w:rFonts w:hint="eastAsia" w:hAnsi="Cambria Math" w:cs="Times New Roman"/>
          <w:i w:val="0"/>
          <w:sz w:val="24"/>
          <w:szCs w:val="24"/>
          <w:lang w:val="en-US" w:eastAsia="zh-CN"/>
        </w:rPr>
        <w:t>即可。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m:rPr/>
        <w:rPr>
          <w:rFonts w:hint="eastAsia" w:hAnsi="Cambria Math" w:cs="Times New Roman"/>
          <w:i w:val="0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m:rPr/>
        <w:rPr>
          <w:rFonts w:hint="default" w:hAnsi="Cambria Math" w:cs="Times New Roman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 w:cs="Times New Roman"/>
          <w:i w:val="0"/>
          <w:sz w:val="24"/>
          <w:szCs w:val="24"/>
          <w:lang w:val="en-US" w:eastAsia="zh-CN"/>
        </w:rPr>
        <w:t>画出x-y关系图如下方左图，拟合结果如下方右图。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m:rPr/>
        <w:rPr>
          <w:rFonts w:hint="eastAsia" w:hAnsi="Cambria Math" w:cs="Times New Roman"/>
          <w:i w:val="0"/>
          <w:sz w:val="24"/>
          <w:szCs w:val="24"/>
          <w:lang w:val="en-US" w:eastAsia="zh-CN"/>
        </w:rPr>
      </w:pPr>
      <w:r>
        <m:rPr/>
        <w:rPr>
          <w:rFonts w:hint="eastAsia" w:hAnsi="Cambria Math" w:cs="Times New Roman"/>
          <w:i w:val="0"/>
          <w:sz w:val="24"/>
          <w:szCs w:val="24"/>
          <w:lang w:val="en-US" w:eastAsia="zh-CN"/>
        </w:rPr>
        <w:drawing>
          <wp:inline distT="0" distB="0" distL="114300" distR="114300">
            <wp:extent cx="3240405" cy="2160270"/>
            <wp:effectExtent l="0" t="0" r="0" b="0"/>
            <wp:docPr id="79" name="图片 79" descr="q7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q7_2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Cambria Math" w:cs="Times New Roman"/>
          <w:i w:val="0"/>
          <w:sz w:val="24"/>
          <w:szCs w:val="24"/>
          <w:lang w:val="en-US" w:eastAsia="zh-CN"/>
        </w:rPr>
        <w:drawing>
          <wp:inline distT="0" distB="0" distL="114300" distR="114300">
            <wp:extent cx="3240405" cy="2160270"/>
            <wp:effectExtent l="0" t="0" r="0" b="0"/>
            <wp:docPr id="80" name="图片 80" descr="q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q7_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m:rPr/>
        <w:rPr>
          <w:rFonts w:hint="default" w:hAnsi="Cambria Math" w:cs="Times New Roman"/>
          <w:i w:val="0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hAnsi="Cambria Math" w:cs="Times New Roman"/>
          <w:i w:val="0"/>
          <w:sz w:val="24"/>
          <w:szCs w:val="24"/>
          <w:lang w:val="en-US" w:eastAsia="zh-CN"/>
        </w:rPr>
      </w:pPr>
    </w:p>
    <w:p>
      <w:pPr>
        <w:pStyle w:val="6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textAlignment w:val="auto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47FAF"/>
    <w:rsid w:val="04575BF0"/>
    <w:rsid w:val="0BE9233B"/>
    <w:rsid w:val="1B7E6701"/>
    <w:rsid w:val="1E747FAF"/>
    <w:rsid w:val="20F7381B"/>
    <w:rsid w:val="26A55CC9"/>
    <w:rsid w:val="295F5454"/>
    <w:rsid w:val="3B3B2B45"/>
    <w:rsid w:val="50AF02ED"/>
    <w:rsid w:val="6B7B1AB7"/>
    <w:rsid w:val="78A52A2E"/>
    <w:rsid w:val="78B65C53"/>
    <w:rsid w:val="7B13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 w:eastAsia="楷体"/>
      <w:sz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 Char"/>
    <w:link w:val="3"/>
    <w:uiPriority w:val="0"/>
    <w:rPr>
      <w:rFonts w:ascii="Times New Roman" w:hAnsi="Times New Roman" w:eastAsia="楷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oleObject" Target="embeddings/oleObject1.bin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image" Target="media/image1.png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1930</Words>
  <Characters>2125</Characters>
  <Lines>0</Lines>
  <Paragraphs>0</Paragraphs>
  <TotalTime>4</TotalTime>
  <ScaleCrop>false</ScaleCrop>
  <LinksUpToDate>false</LinksUpToDate>
  <CharactersWithSpaces>2163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2021-05-10T07:23:00Z</dcterms:created>
  <dc:creator>WPS_381962391</dc:creator>
  <cp:lastModifiedBy>WPS_381962391</cp:lastModifiedBy>
  <dcterms:modified xsi:type="dcterms:W3CDTF">2021-05-10T13:25:41Z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2E26889693924991A61D4A934C353470</vt:lpwstr>
  </property>
</Properties>
</file>