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7194F" w14:textId="19C1367F" w:rsidR="00B14D4C" w:rsidRDefault="00000000">
      <w:pPr>
        <w:spacing w:after="40"/>
        <w:jc w:val="center"/>
      </w:pPr>
      <w:r>
        <w:rPr>
          <w:b/>
          <w:sz w:val="34"/>
        </w:rPr>
        <w:t xml:space="preserve">PHASE 6 REPORT -INSIGHTS &amp; RECOMMENDATION</w:t>
      </w:r>
    </w:p>
    <w:p w14:paraId="5B62CEE7" w14:textId="54859C1E" w:rsidR="00B14D4C" w:rsidRDefault="00000000">
      <w:pPr>
        <w:spacing w:after="40"/>
        <w:jc w:val="center"/>
      </w:pPr>
      <w:r>
        <w:rPr>
          <w:i/>
          <w:color w:val="555555"/>
        </w:rPr>
        <w:t xml:space="preserve">A/B Test analysis project -Cookie Cats (moving the progression gate 30 → 40)</w:t>
      </w:r>
    </w:p>
    <w:p w14:paraId="78A860A3" w14:textId="77777777" w:rsidR="00B14D4C" w:rsidRDefault="00000000">
      <w:pPr>
        <w:spacing w:after="80"/>
        <w:jc w:val="center"/>
      </w:pPr>
      <w:r>
        <w:rPr>
          <w:color w:val="555555"/>
          <w:sz w:val="22"/>
        </w:rPr>
        <w:t>Author: Xuân Quang   |   Role: Senior Data Analyst   |   Date: 08/08/2026   |   Status: Completed</w:t>
      </w:r>
    </w:p>
    <w:p w14:paraId="6E903C8E" w14:textId="77777777" w:rsidR="00B14D4C" w:rsidRDefault="00B14D4C">
      <w:pPr>
        <w:pBdr>
          <w:bottom w:val="single" w:sz="6" w:space="1" w:color="999999"/>
        </w:pBdr>
        <w:spacing w:after="160"/>
      </w:pPr>
    </w:p>
    <w:p w14:paraId="2E7010CB" w14:textId="77777777" w:rsidR="00B14D4C" w:rsidRDefault="00000000">
      <w:pPr>
        <w:keepNext/>
        <w:spacing w:before="240" w:after="100"/>
      </w:pPr>
      <w:r>
        <w:rPr>
          <w:b/>
          <w:sz w:val="30"/>
        </w:rPr>
        <w:t>1. Executive summary</w:t>
      </w:r>
    </w:p>
    <w:p w14:paraId="1C41034E" w14:textId="6AC73F3E" w:rsidR="00B14D4C" w:rsidRDefault="00000000">
      <w:r>
        <w:rPr>
          <w:b/>
        </w:rPr>
        <w:t xml:space="preserve">Recommendation: NO-GO -keep the gate at level 30, do not roll out gate 40, with confidence &gt; 95%.</w:t>
      </w:r>
    </w:p>
    <w:p w14:paraId="05288CB9" w14:textId="7078ED69" w:rsidR="00B14D4C" w:rsidRDefault="00000000">
      <w:r>
        <w:t xml:space="preserve">The A/B experiment on 90,188 cleaned users shows that moving the gate delivers no benefit whatsoever, while harming exactly the most valuable player group. Three pieces of evidence were found as follows: (1) gate_40’s D7 retention drops 0.82 percentage points (−4.3% relative), statistically significant beyond even the Bonferroni threshold (p = 0.0016); (2) engagement between the two groups is essentially equal (p = 0.051; bootstrap CI contains 0) -no benefit to trade for; (3) the harm concentrates in the medium and heavy groups, while the light group is virtually unchanged.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B14D4C" w14:paraId="06FF6B7A" w14:textId="77777777">
        <w:trPr>
          <w:jc w:val="center"/>
        </w:trPr>
        <w:tc>
          <w:tcPr>
            <w:tcW w:w="9072" w:type="dxa"/>
            <w:shd w:val="clear" w:color="auto" w:fill="F2F2F2"/>
          </w:tcPr>
          <w:p w14:paraId="7FAB5052" w14:textId="77777777" w:rsidR="00B14D4C" w:rsidRDefault="00000000">
            <w:pPr>
              <w:spacing w:after="40"/>
            </w:pPr>
            <w:r>
              <w:rPr>
                <w:b/>
                <w:sz w:val="24"/>
              </w:rPr>
              <w:t>Core figures</w:t>
            </w:r>
          </w:p>
          <w:p w14:paraId="6A35660D" w14:textId="77777777" w:rsidR="00B14D4C" w:rsidRDefault="00000000">
            <w:pPr>
              <w:spacing w:after="40"/>
            </w:pPr>
            <w:r>
              <w:rPr>
                <w:sz w:val="24"/>
              </w:rPr>
              <w:t>• Retention D7: 19.02% (gate_30) versus 18.20% (gate_40)  →  −0.82pp, p = 0.0016  →  REJECT H0</w:t>
            </w:r>
          </w:p>
          <w:p w14:paraId="1D990220" w14:textId="77777777" w:rsidR="00B14D4C" w:rsidRDefault="00000000">
            <w:pPr>
              <w:spacing w:after="40"/>
            </w:pPr>
            <w:r>
              <w:rPr>
                <w:sz w:val="24"/>
              </w:rPr>
              <w:t>• Retention D1: 44.82% versus 44.23%  →  −0.59pp, p = 0.075  →  no difference</w:t>
            </w:r>
          </w:p>
          <w:p w14:paraId="11F353B4" w14:textId="77777777" w:rsidR="00B14D4C" w:rsidRDefault="00000000">
            <w:pPr>
              <w:spacing w:after="40"/>
            </w:pPr>
            <w:r>
              <w:rPr>
                <w:sz w:val="24"/>
              </w:rPr>
              <w:t>• Engagement (median rounds): 17 versus 16  →  p = 0.051, CI contains 0  →  no difference</w:t>
            </w:r>
          </w:p>
          <w:p w14:paraId="3EDEDE35" w14:textId="77777777" w:rsidR="00B14D4C" w:rsidRDefault="00000000">
            <w:pPr>
              <w:spacing w:after="40"/>
            </w:pPr>
            <w:r>
              <w:rPr>
                <w:sz w:val="24"/>
              </w:rPr>
              <w:t>• Business impact (proxy, ARPDAU $0.10): ~818 D7 users lost/month per 100K installs ≈ $2,454/month ≈ $29,448/year (linear with traffic)</w:t>
            </w:r>
          </w:p>
        </w:tc>
      </w:tr>
    </w:tbl>
    <w:p w14:paraId="0FCAE118" w14:textId="77777777" w:rsidR="00B14D4C" w:rsidRDefault="00B14D4C">
      <w:pPr>
        <w:spacing w:after="80"/>
      </w:pPr>
    </w:p>
    <w:p w14:paraId="752A0AEA" w14:textId="77777777" w:rsidR="00B14D4C" w:rsidRDefault="00000000">
      <w:pPr>
        <w:keepNext/>
        <w:spacing w:before="240" w:after="100"/>
      </w:pPr>
      <w:r>
        <w:rPr>
          <w:b/>
          <w:sz w:val="30"/>
        </w:rPr>
        <w:t>2. Context &amp; business question</w:t>
      </w:r>
    </w:p>
    <w:p w14:paraId="68F1B1DC" w14:textId="1EA02197" w:rsidR="00B14D4C" w:rsidRDefault="00000000">
      <w:r>
        <w:t xml:space="preserve">Cookie Cats is a mobile puzzle game (match-3) by Tactile Entertainment. The gate is a progress-blocking mechanic, forcing players to wait / invite friends / pay -the main tool for creating controlled friction. The A/B experiment compares two gate positions: gate_30 (control, blocking at level 30) and gate_40 (treatment, moved to level 40).</w:t>
      </w:r>
    </w:p>
    <w:p w14:paraId="1B4132B2" w14:textId="77777777" w:rsidR="00B14D4C" w:rsidRDefault="00000000">
      <w:r>
        <w:t xml:space="preserve">The question to answer: does moving the gate 30 → 40 improve retention (D1, D7) and engagement, in order to make a Go/No-Go recommendation for the Product team? This report </w:t>
        <w:lastRenderedPageBreak/>
        <w:t>synthesizes and interprets the test results (Phase 4) into insights and an actionable recommendation; the methodology and testing details are in the Phase 2–4 reports.</w:t>
      </w:r>
    </w:p>
    <w:p w14:paraId="2F428E1D" w14:textId="77777777" w:rsidR="00B14D4C" w:rsidRDefault="00000000">
      <w:pPr>
        <w:keepNext/>
        <w:spacing w:before="240" w:after="100"/>
      </w:pPr>
      <w:r>
        <w:rPr>
          <w:b/>
          <w:sz w:val="30"/>
        </w:rPr>
        <w:t>3. Summary of the three-hypothesis results</w:t>
      </w:r>
    </w:p>
    <w:p w14:paraId="2752B1E6" w14:textId="032A9B5F" w:rsidR="00B14D4C" w:rsidRDefault="00000000">
      <w:r>
        <w:t>Principle for reading the results: at a sample size of ~90K, the p-value is almost always small, so every conclusion separates statistical significance from practical significance. Thresholds: α = 0.05, Bonferroni-corrected α = 0.0167 for the 3 simultaneous tests.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85"/>
        <w:gridCol w:w="1893"/>
        <w:gridCol w:w="1477"/>
        <w:gridCol w:w="1620"/>
        <w:gridCol w:w="1681"/>
      </w:tblGrid>
      <w:tr w:rsidR="00B14D4C" w14:paraId="23456B49" w14:textId="77777777">
        <w:trPr>
          <w:jc w:val="center"/>
        </w:trPr>
        <w:tc>
          <w:tcPr>
            <w:tcW w:w="2232" w:type="dxa"/>
            <w:shd w:val="clear" w:color="auto" w:fill="D9D9D9"/>
          </w:tcPr>
          <w:p w14:paraId="2A7F8359" w14:textId="77777777" w:rsidR="00B14D4C" w:rsidRDefault="00000000">
            <w:r>
              <w:rPr>
                <w:b/>
                <w:sz w:val="22"/>
              </w:rPr>
              <w:t>Hypothesis</w:t>
            </w:r>
          </w:p>
        </w:tc>
        <w:tc>
          <w:tcPr>
            <w:tcW w:w="1944" w:type="dxa"/>
            <w:shd w:val="clear" w:color="auto" w:fill="D9D9D9"/>
          </w:tcPr>
          <w:p w14:paraId="78DEA90C" w14:textId="77777777" w:rsidR="00B14D4C" w:rsidRDefault="00000000">
            <w:r>
              <w:rPr>
                <w:b/>
                <w:sz w:val="22"/>
              </w:rPr>
              <w:t>Difference</w:t>
            </w:r>
          </w:p>
        </w:tc>
        <w:tc>
          <w:tcPr>
            <w:tcW w:w="1512" w:type="dxa"/>
            <w:shd w:val="clear" w:color="auto" w:fill="D9D9D9"/>
          </w:tcPr>
          <w:p w14:paraId="110828A6" w14:textId="77777777" w:rsidR="00B14D4C" w:rsidRDefault="00000000">
            <w:r>
              <w:rPr>
                <w:b/>
                <w:sz w:val="22"/>
              </w:rPr>
              <w:t>p-value</w:t>
            </w:r>
          </w:p>
        </w:tc>
        <w:tc>
          <w:tcPr>
            <w:tcW w:w="1656" w:type="dxa"/>
            <w:shd w:val="clear" w:color="auto" w:fill="D9D9D9"/>
          </w:tcPr>
          <w:p w14:paraId="010C2261" w14:textId="77777777" w:rsidR="00B14D4C" w:rsidRDefault="00000000">
            <w:r>
              <w:rPr>
                <w:b/>
                <w:sz w:val="22"/>
              </w:rPr>
              <w:t>95% Confidence interval</w:t>
            </w:r>
          </w:p>
        </w:tc>
        <w:tc>
          <w:tcPr>
            <w:tcW w:w="1728" w:type="dxa"/>
            <w:shd w:val="clear" w:color="auto" w:fill="D9D9D9"/>
          </w:tcPr>
          <w:p w14:paraId="498F8DF2" w14:textId="77777777" w:rsidR="00B14D4C" w:rsidRDefault="00000000">
            <w:r>
              <w:rPr>
                <w:b/>
                <w:sz w:val="22"/>
              </w:rPr>
              <w:t>Conclusion</w:t>
            </w:r>
          </w:p>
        </w:tc>
      </w:tr>
      <w:tr w:rsidR="00B14D4C" w14:paraId="53ADF819" w14:textId="77777777">
        <w:trPr>
          <w:jc w:val="center"/>
        </w:trPr>
        <w:tc>
          <w:tcPr>
            <w:tcW w:w="2232" w:type="dxa"/>
          </w:tcPr>
          <w:p w14:paraId="3931A3D1" w14:textId="77777777" w:rsidR="00B14D4C" w:rsidRDefault="00000000">
            <w:r>
              <w:rPr>
                <w:sz w:val="22"/>
              </w:rPr>
              <w:t>Retention D1</w:t>
            </w:r>
          </w:p>
        </w:tc>
        <w:tc>
          <w:tcPr>
            <w:tcW w:w="1944" w:type="dxa"/>
          </w:tcPr>
          <w:p w14:paraId="406649AA" w14:textId="77777777" w:rsidR="00B14D4C" w:rsidRDefault="00000000">
            <w:r>
              <w:rPr>
                <w:sz w:val="22"/>
              </w:rPr>
              <w:t>−0.59pp (−1.3%)</w:t>
            </w:r>
          </w:p>
        </w:tc>
        <w:tc>
          <w:tcPr>
            <w:tcW w:w="1512" w:type="dxa"/>
          </w:tcPr>
          <w:p w14:paraId="2F24D633" w14:textId="77777777" w:rsidR="00B14D4C" w:rsidRDefault="00000000">
            <w:r>
              <w:rPr>
                <w:sz w:val="22"/>
              </w:rPr>
              <w:t>0.075</w:t>
            </w:r>
          </w:p>
        </w:tc>
        <w:tc>
          <w:tcPr>
            <w:tcW w:w="1656" w:type="dxa"/>
          </w:tcPr>
          <w:p w14:paraId="333A3B65" w14:textId="77777777" w:rsidR="00B14D4C" w:rsidRDefault="00000000">
            <w:r>
              <w:rPr>
                <w:sz w:val="22"/>
              </w:rPr>
              <w:t>[−1.24; +0.06] contains 0</w:t>
            </w:r>
          </w:p>
        </w:tc>
        <w:tc>
          <w:tcPr>
            <w:tcW w:w="1728" w:type="dxa"/>
          </w:tcPr>
          <w:p w14:paraId="5C055580" w14:textId="77777777" w:rsidR="00B14D4C" w:rsidRDefault="00000000">
            <w:r>
              <w:rPr>
                <w:sz w:val="22"/>
              </w:rPr>
              <w:t>Do not reject H0</w:t>
            </w:r>
          </w:p>
        </w:tc>
      </w:tr>
      <w:tr w:rsidR="00B14D4C" w14:paraId="6A90602B" w14:textId="77777777">
        <w:trPr>
          <w:jc w:val="center"/>
        </w:trPr>
        <w:tc>
          <w:tcPr>
            <w:tcW w:w="2232" w:type="dxa"/>
          </w:tcPr>
          <w:p w14:paraId="5413C6CD" w14:textId="77777777" w:rsidR="00B14D4C" w:rsidRDefault="00000000">
            <w:r>
              <w:rPr>
                <w:sz w:val="22"/>
              </w:rPr>
              <w:t>Retention D7</w:t>
            </w:r>
          </w:p>
        </w:tc>
        <w:tc>
          <w:tcPr>
            <w:tcW w:w="1944" w:type="dxa"/>
          </w:tcPr>
          <w:p w14:paraId="15BE79A5" w14:textId="77777777" w:rsidR="00B14D4C" w:rsidRDefault="00000000">
            <w:r>
              <w:rPr>
                <w:sz w:val="22"/>
              </w:rPr>
              <w:t>−0.82pp (−4.3%)</w:t>
            </w:r>
          </w:p>
        </w:tc>
        <w:tc>
          <w:tcPr>
            <w:tcW w:w="1512" w:type="dxa"/>
          </w:tcPr>
          <w:p w14:paraId="474D7A3F" w14:textId="77777777" w:rsidR="00B14D4C" w:rsidRDefault="00000000">
            <w:r>
              <w:rPr>
                <w:sz w:val="22"/>
              </w:rPr>
              <w:t>0.0016</w:t>
            </w:r>
          </w:p>
        </w:tc>
        <w:tc>
          <w:tcPr>
            <w:tcW w:w="1656" w:type="dxa"/>
          </w:tcPr>
          <w:p w14:paraId="02578B6C" w14:textId="77777777" w:rsidR="00B14D4C" w:rsidRDefault="00000000">
            <w:r>
              <w:rPr>
                <w:sz w:val="22"/>
              </w:rPr>
              <w:t>[−1.33; −0.31] does not contain 0</w:t>
            </w:r>
          </w:p>
        </w:tc>
        <w:tc>
          <w:tcPr>
            <w:tcW w:w="1728" w:type="dxa"/>
          </w:tcPr>
          <w:p w14:paraId="738C5B1D" w14:textId="77777777" w:rsidR="00B14D4C" w:rsidRDefault="00000000">
            <w:r>
              <w:rPr>
                <w:b/>
                <w:sz w:val="22"/>
              </w:rPr>
              <w:t>REJECT H0</w:t>
            </w:r>
          </w:p>
        </w:tc>
      </w:tr>
      <w:tr w:rsidR="00B14D4C" w14:paraId="75462906" w14:textId="77777777">
        <w:trPr>
          <w:jc w:val="center"/>
        </w:trPr>
        <w:tc>
          <w:tcPr>
            <w:tcW w:w="2232" w:type="dxa"/>
          </w:tcPr>
          <w:p w14:paraId="3FC65379" w14:textId="77777777" w:rsidR="00B14D4C" w:rsidRDefault="00000000">
            <w:r>
              <w:rPr>
                <w:sz w:val="22"/>
              </w:rPr>
              <w:t>Engagement (median)</w:t>
            </w:r>
          </w:p>
        </w:tc>
        <w:tc>
          <w:tcPr>
            <w:tcW w:w="1944" w:type="dxa"/>
          </w:tcPr>
          <w:p w14:paraId="367D1A7B" w14:textId="77777777" w:rsidR="00B14D4C" w:rsidRDefault="00000000">
            <w:r>
              <w:rPr>
                <w:sz w:val="22"/>
              </w:rPr>
              <w:t>17 → 16 rounds</w:t>
            </w:r>
          </w:p>
        </w:tc>
        <w:tc>
          <w:tcPr>
            <w:tcW w:w="1512" w:type="dxa"/>
          </w:tcPr>
          <w:p w14:paraId="786DAC22" w14:textId="77777777" w:rsidR="00B14D4C" w:rsidRDefault="00000000">
            <w:r>
              <w:rPr>
                <w:sz w:val="22"/>
              </w:rPr>
              <w:t>0.051</w:t>
            </w:r>
          </w:p>
        </w:tc>
        <w:tc>
          <w:tcPr>
            <w:tcW w:w="1656" w:type="dxa"/>
          </w:tcPr>
          <w:p w14:paraId="2271912F" w14:textId="77777777" w:rsidR="00B14D4C" w:rsidRDefault="00000000">
            <w:r>
              <w:rPr>
                <w:sz w:val="22"/>
              </w:rPr>
              <w:t>[−1.00; 0.00] contains 0</w:t>
            </w:r>
          </w:p>
        </w:tc>
        <w:tc>
          <w:tcPr>
            <w:tcW w:w="1728" w:type="dxa"/>
          </w:tcPr>
          <w:p w14:paraId="79DB8339" w14:textId="77777777" w:rsidR="00B14D4C" w:rsidRDefault="00000000">
            <w:r>
              <w:rPr>
                <w:sz w:val="22"/>
              </w:rPr>
              <w:t>Do not reject H0</w:t>
            </w:r>
          </w:p>
        </w:tc>
      </w:tr>
    </w:tbl>
    <w:p w14:paraId="1FA0CD2F" w14:textId="77777777" w:rsidR="00B14D4C" w:rsidRDefault="00B14D4C"/>
    <w:p w14:paraId="76EC3D3E" w14:textId="223A8B40" w:rsidR="00B14D4C" w:rsidRDefault="00FE091D">
      <w:r>
        <w:rPr>
          <w:i/>
        </w:rPr>
        <w:t xml:space="preserve">=&gt; moving the gate does NOT increase engagement, nor does it improve day-1 retention - but it REDUCES D7 retention.</w:t>
      </w:r>
    </w:p>
    <w:p w14:paraId="5FF66410" w14:textId="77777777" w:rsidR="00B14D4C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6902C95D" wp14:editId="2AF3DF69">
            <wp:extent cx="5760720" cy="25322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4_g1_retention_ci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9B36D" w14:textId="77777777" w:rsidR="00B14D4C" w:rsidRDefault="00000000">
      <w:pPr>
        <w:spacing w:after="200"/>
        <w:jc w:val="center"/>
      </w:pPr>
      <w:r>
        <w:rPr>
          <w:i/>
          <w:color w:val="555555"/>
          <w:sz w:val="22"/>
        </w:rPr>
        <w:t>Figure 1. D1 and D7 retention by group (error bars = 95% confidence interval). The D7 difference is clear and non-overlapping.</w:t>
      </w:r>
    </w:p>
    <w:p w14:paraId="14150882" w14:textId="77777777" w:rsidR="00B14D4C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68CE84D3" wp14:editId="55CA9002">
            <wp:extent cx="5760720" cy="21789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4_g2_engagemen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427A4" w14:textId="77777777" w:rsidR="00B14D4C" w:rsidRDefault="00000000">
      <w:pPr>
        <w:spacing w:after="200"/>
        <w:jc w:val="center"/>
      </w:pPr>
      <w:r>
        <w:rPr>
          <w:i/>
          <w:color w:val="555555"/>
          <w:sz w:val="22"/>
        </w:rPr>
        <w:t>Figure 2. Bootstrap distribution of the engagement median difference; the 95% confidence interval contains the 0 mark → no practical difference.</w:t>
      </w:r>
    </w:p>
    <w:p w14:paraId="02A16BD7" w14:textId="285AC211" w:rsidR="00B14D4C" w:rsidRDefault="00000000">
      <w:pPr>
        <w:keepNext/>
        <w:spacing w:before="240" w:after="100"/>
      </w:pPr>
      <w:r>
        <w:rPr>
          <w:b/>
          <w:sz w:val="30"/>
        </w:rPr>
        <w:t xml:space="preserve">4. Deep insight -the harm falls exactly on the valuable group</w:t>
      </w:r>
    </w:p>
    <w:p w14:paraId="05B2BF7F" w14:textId="4913FED1" w:rsidR="00B14D4C" w:rsidRDefault="00000000">
      <w:r>
        <w:t xml:space="preserve">The −0.82pp figure at D7 is the average effect; analysis by engagement group shows the impact is distributed unevenly -this is the most important insight for the Game Designer:</w:t>
      </w:r>
    </w:p>
    <w:p w14:paraId="35691AF2" w14:textId="504D6354" w:rsidR="00B14D4C" w:rsidRDefault="00000000">
      <w:pPr>
        <w:pStyle w:val="ListBullet"/>
        <w:spacing w:after="60"/>
      </w:pPr>
      <w:r>
        <w:rPr>
          <w:b/>
        </w:rPr>
        <w:t xml:space="preserve">Light group: </w:t>
      </w:r>
      <w:r>
        <w:t xml:space="preserve">+0.11pp (p = 0.44) -virtually unchanged.</w:t>
      </w:r>
    </w:p>
    <w:p w14:paraId="1C3B7C0A" w14:textId="453F5D54" w:rsidR="00B14D4C" w:rsidRDefault="00000000">
      <w:pPr>
        <w:pStyle w:val="ListBullet"/>
        <w:spacing w:after="60"/>
      </w:pPr>
      <w:r>
        <w:rPr>
          <w:b/>
        </w:rPr>
        <w:t xml:space="preserve">Medium group: </w:t>
      </w:r>
      <w:r>
        <w:t xml:space="preserve">−0.63pp (p = 0.043) -starting to feel the impact.</w:t>
      </w:r>
    </w:p>
    <w:p w14:paraId="311256CA" w14:textId="44B45A78" w:rsidR="00B14D4C" w:rsidRDefault="00000000">
      <w:pPr>
        <w:pStyle w:val="ListBullet"/>
        <w:spacing w:after="60"/>
      </w:pPr>
      <w:r>
        <w:rPr>
          <w:b/>
        </w:rPr>
        <w:t xml:space="preserve">Heavy group: </w:t>
      </w:r>
      <w:r>
        <w:t xml:space="preserve">−1.27pp (p = 0.029) -the largest drop.</w:t>
      </w:r>
    </w:p>
    <w:p w14:paraId="27983DFB" w14:textId="48C76A4E" w:rsidR="00B14D4C" w:rsidRDefault="00000000">
      <w:r>
        <w:t xml:space="preserve">This monotonic pattern by engagement level matches the game mechanism: light players mostly leave before even level 30 so they do not "hit" the gate; medium/heavy players are the ones who truly reach the gate point -and moving the gate breaks the comeback habit in exactly the most valuable group. In other words, gate_40 does not harm those about to leave, but harms those who are staying.</w:t>
      </w:r>
    </w:p>
    <w:p w14:paraId="168E7B50" w14:textId="77777777" w:rsidR="00B14D4C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57037225" wp14:editId="3A3ED1FB">
            <wp:extent cx="4937760" cy="276333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4_g3_segment_d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6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D5738" w14:textId="77777777" w:rsidR="00B14D4C" w:rsidRDefault="00000000">
      <w:pPr>
        <w:spacing w:after="200"/>
        <w:jc w:val="center"/>
      </w:pPr>
      <w:r>
        <w:rPr>
          <w:i/>
          <w:color w:val="555555"/>
          <w:sz w:val="22"/>
        </w:rPr>
        <w:t>Figure 3. D7 retention by engagement group; the harm concentrates in medium and heavy.</w:t>
      </w:r>
    </w:p>
    <w:p w14:paraId="47A7F129" w14:textId="77777777" w:rsidR="00B14D4C" w:rsidRDefault="00000000">
      <w:pPr>
        <w:keepNext/>
        <w:spacing w:before="240" w:after="100"/>
      </w:pPr>
      <w:r>
        <w:rPr>
          <w:b/>
          <w:sz w:val="30"/>
        </w:rPr>
        <w:t>5. Business impact estimate</w:t>
      </w:r>
    </w:p>
    <w:p w14:paraId="10DB8871" w14:textId="1F3EF198" w:rsidR="00B14D4C" w:rsidRDefault="00000000">
      <w:r>
        <w:t xml:space="preserve">The dataset contains no revenue data, so this section is a proxy estimate with transparent assumptions, not directly measured revenue. D7 retention is used as a proxy for stickiness/LTV.</w:t>
      </w:r>
    </w:p>
    <w:p w14:paraId="510E02A9" w14:textId="77777777" w:rsidR="00B14D4C" w:rsidRDefault="00000000">
      <w:pPr>
        <w:spacing w:after="40"/>
      </w:pPr>
      <w:r>
        <w:rPr>
          <w:b/>
        </w:rPr>
        <w:t>Assumptions (casual puzzle industry benchmark):</w:t>
      </w:r>
    </w:p>
    <w:p w14:paraId="2188DC4C" w14:textId="77777777" w:rsidR="00B14D4C" w:rsidRDefault="00000000">
      <w:pPr>
        <w:pStyle w:val="ListBullet"/>
        <w:spacing w:after="60"/>
      </w:pPr>
      <w:r>
        <w:rPr>
          <w:b/>
        </w:rPr>
        <w:t>ARPDAU ≈ $0.10</w:t>
      </w:r>
      <w:r>
        <w:t xml:space="preserve"> (average revenue per active user per day).</w:t>
      </w:r>
    </w:p>
    <w:p w14:paraId="1A780D5A" w14:textId="77777777" w:rsidR="00B14D4C" w:rsidRDefault="00000000">
      <w:pPr>
        <w:pStyle w:val="ListBullet"/>
        <w:spacing w:after="60"/>
      </w:pPr>
      <w:r>
        <w:t>LTV proxy per user ≈ ARPDAU × ~30 estimated active days = $3.00.</w:t>
      </w:r>
    </w:p>
    <w:p w14:paraId="0AA502F3" w14:textId="77777777" w:rsidR="00B14D4C" w:rsidRDefault="00000000">
      <w:pPr>
        <w:pStyle w:val="ListBullet"/>
        <w:spacing w:after="60"/>
      </w:pPr>
      <w:r>
        <w:t>Illustrative scale: 100,000 new installs per month.</w:t>
      </w:r>
    </w:p>
    <w:p w14:paraId="776EE22A" w14:textId="0A28B937" w:rsidR="00B14D4C" w:rsidRDefault="00000000">
      <w:pPr>
        <w:spacing w:before="40"/>
      </w:pPr>
      <w:r>
        <w:t xml:space="preserve">Formula: D7 users lost/month = Installs × |ΔD7| = 100,000 × 0.00818 ≈ 818 users. Proxy revenue lost = 818 × $3.00 ≈ $2,454/month ≈ $29,448/year -and it scales linearly with traffic.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13"/>
        <w:gridCol w:w="2083"/>
        <w:gridCol w:w="2085"/>
        <w:gridCol w:w="2075"/>
      </w:tblGrid>
      <w:tr w:rsidR="00B14D4C" w14:paraId="3CB27CC5" w14:textId="77777777">
        <w:trPr>
          <w:jc w:val="center"/>
        </w:trPr>
        <w:tc>
          <w:tcPr>
            <w:tcW w:w="2736" w:type="dxa"/>
            <w:shd w:val="clear" w:color="auto" w:fill="D9D9D9"/>
          </w:tcPr>
          <w:p w14:paraId="73E766CE" w14:textId="77777777" w:rsidR="00B14D4C" w:rsidRDefault="00000000">
            <w:r>
              <w:rPr>
                <w:b/>
                <w:sz w:val="22"/>
              </w:rPr>
              <w:t>New installs/month</w:t>
            </w:r>
          </w:p>
        </w:tc>
        <w:tc>
          <w:tcPr>
            <w:tcW w:w="2160" w:type="dxa"/>
            <w:shd w:val="clear" w:color="auto" w:fill="D9D9D9"/>
          </w:tcPr>
          <w:p w14:paraId="0F5FEF4A" w14:textId="77777777" w:rsidR="00B14D4C" w:rsidRDefault="00000000">
            <w:r>
              <w:rPr>
                <w:b/>
                <w:sz w:val="22"/>
              </w:rPr>
              <w:t>D7 users lost/month</w:t>
            </w:r>
          </w:p>
        </w:tc>
        <w:tc>
          <w:tcPr>
            <w:tcW w:w="2160" w:type="dxa"/>
            <w:shd w:val="clear" w:color="auto" w:fill="D9D9D9"/>
          </w:tcPr>
          <w:p w14:paraId="6E6BA67F" w14:textId="77777777" w:rsidR="00B14D4C" w:rsidRDefault="00000000">
            <w:r>
              <w:rPr>
                <w:b/>
                <w:sz w:val="22"/>
              </w:rPr>
              <w:t>Loss/month ($)</w:t>
            </w:r>
          </w:p>
        </w:tc>
        <w:tc>
          <w:tcPr>
            <w:tcW w:w="2160" w:type="dxa"/>
            <w:shd w:val="clear" w:color="auto" w:fill="D9D9D9"/>
          </w:tcPr>
          <w:p w14:paraId="32DF5451" w14:textId="77777777" w:rsidR="00B14D4C" w:rsidRDefault="00000000">
            <w:r>
              <w:rPr>
                <w:b/>
                <w:sz w:val="22"/>
              </w:rPr>
              <w:t>Loss/year ($)</w:t>
            </w:r>
          </w:p>
        </w:tc>
      </w:tr>
      <w:tr w:rsidR="00B14D4C" w14:paraId="4DCBE2A5" w14:textId="77777777">
        <w:trPr>
          <w:jc w:val="center"/>
        </w:trPr>
        <w:tc>
          <w:tcPr>
            <w:tcW w:w="2736" w:type="dxa"/>
          </w:tcPr>
          <w:p w14:paraId="26696723" w14:textId="77777777" w:rsidR="00B14D4C" w:rsidRDefault="00000000">
            <w:r>
              <w:rPr>
                <w:sz w:val="22"/>
              </w:rPr>
              <w:t>100,000</w:t>
            </w:r>
          </w:p>
        </w:tc>
        <w:tc>
          <w:tcPr>
            <w:tcW w:w="2160" w:type="dxa"/>
          </w:tcPr>
          <w:p w14:paraId="34A66DD3" w14:textId="77777777" w:rsidR="00B14D4C" w:rsidRDefault="00000000">
            <w:r>
              <w:rPr>
                <w:sz w:val="22"/>
              </w:rPr>
              <w:t>818</w:t>
            </w:r>
          </w:p>
        </w:tc>
        <w:tc>
          <w:tcPr>
            <w:tcW w:w="2160" w:type="dxa"/>
          </w:tcPr>
          <w:p w14:paraId="6FD015C2" w14:textId="77777777" w:rsidR="00B14D4C" w:rsidRDefault="00000000">
            <w:r>
              <w:rPr>
                <w:sz w:val="22"/>
              </w:rPr>
              <w:t>$2,454</w:t>
            </w:r>
          </w:p>
        </w:tc>
        <w:tc>
          <w:tcPr>
            <w:tcW w:w="2160" w:type="dxa"/>
          </w:tcPr>
          <w:p w14:paraId="1CDFB914" w14:textId="77777777" w:rsidR="00B14D4C" w:rsidRDefault="00000000">
            <w:r>
              <w:rPr>
                <w:sz w:val="22"/>
              </w:rPr>
              <w:t>$29,448</w:t>
            </w:r>
          </w:p>
        </w:tc>
      </w:tr>
      <w:tr w:rsidR="00B14D4C" w14:paraId="274B4244" w14:textId="77777777">
        <w:trPr>
          <w:jc w:val="center"/>
        </w:trPr>
        <w:tc>
          <w:tcPr>
            <w:tcW w:w="2736" w:type="dxa"/>
          </w:tcPr>
          <w:p w14:paraId="21C2BE7E" w14:textId="77777777" w:rsidR="00B14D4C" w:rsidRDefault="00000000">
            <w:r>
              <w:rPr>
                <w:sz w:val="22"/>
              </w:rPr>
              <w:t>500,000</w:t>
            </w:r>
          </w:p>
        </w:tc>
        <w:tc>
          <w:tcPr>
            <w:tcW w:w="2160" w:type="dxa"/>
          </w:tcPr>
          <w:p w14:paraId="4712A67D" w14:textId="77777777" w:rsidR="00B14D4C" w:rsidRDefault="00000000">
            <w:r>
              <w:rPr>
                <w:sz w:val="22"/>
              </w:rPr>
              <w:t>4,092</w:t>
            </w:r>
          </w:p>
        </w:tc>
        <w:tc>
          <w:tcPr>
            <w:tcW w:w="2160" w:type="dxa"/>
          </w:tcPr>
          <w:p w14:paraId="3189E486" w14:textId="77777777" w:rsidR="00B14D4C" w:rsidRDefault="00000000">
            <w:r>
              <w:rPr>
                <w:sz w:val="22"/>
              </w:rPr>
              <w:t>$12,276</w:t>
            </w:r>
          </w:p>
        </w:tc>
        <w:tc>
          <w:tcPr>
            <w:tcW w:w="2160" w:type="dxa"/>
          </w:tcPr>
          <w:p w14:paraId="1210BDBA" w14:textId="77777777" w:rsidR="00B14D4C" w:rsidRDefault="00000000">
            <w:r>
              <w:rPr>
                <w:sz w:val="22"/>
              </w:rPr>
              <w:t>$147,312</w:t>
            </w:r>
          </w:p>
        </w:tc>
      </w:tr>
      <w:tr w:rsidR="00B14D4C" w14:paraId="536B0D59" w14:textId="77777777">
        <w:trPr>
          <w:jc w:val="center"/>
        </w:trPr>
        <w:tc>
          <w:tcPr>
            <w:tcW w:w="2736" w:type="dxa"/>
          </w:tcPr>
          <w:p w14:paraId="0D39FF4D" w14:textId="77777777" w:rsidR="00B14D4C" w:rsidRDefault="00000000">
            <w:r>
              <w:rPr>
                <w:sz w:val="22"/>
              </w:rPr>
              <w:t>1,000,000</w:t>
            </w:r>
          </w:p>
        </w:tc>
        <w:tc>
          <w:tcPr>
            <w:tcW w:w="2160" w:type="dxa"/>
          </w:tcPr>
          <w:p w14:paraId="0503E33A" w14:textId="77777777" w:rsidR="00B14D4C" w:rsidRDefault="00000000">
            <w:r>
              <w:rPr>
                <w:sz w:val="22"/>
              </w:rPr>
              <w:t>8,183</w:t>
            </w:r>
          </w:p>
        </w:tc>
        <w:tc>
          <w:tcPr>
            <w:tcW w:w="2160" w:type="dxa"/>
          </w:tcPr>
          <w:p w14:paraId="0130C8AB" w14:textId="77777777" w:rsidR="00B14D4C" w:rsidRDefault="00000000">
            <w:r>
              <w:rPr>
                <w:sz w:val="22"/>
              </w:rPr>
              <w:t>$24,549</w:t>
            </w:r>
          </w:p>
        </w:tc>
        <w:tc>
          <w:tcPr>
            <w:tcW w:w="2160" w:type="dxa"/>
          </w:tcPr>
          <w:p w14:paraId="478EFC1F" w14:textId="77777777" w:rsidR="00B14D4C" w:rsidRDefault="00000000">
            <w:r>
              <w:rPr>
                <w:sz w:val="22"/>
              </w:rPr>
              <w:t>$294,588</w:t>
            </w:r>
          </w:p>
        </w:tc>
      </w:tr>
    </w:tbl>
    <w:p w14:paraId="4CEBFDB3" w14:textId="77777777" w:rsidR="00B14D4C" w:rsidRDefault="00B14D4C">
      <w:pPr>
        <w:spacing w:after="80"/>
      </w:pPr>
    </w:p>
    <w:p w14:paraId="1470AB39" w14:textId="3DBDCD75" w:rsidR="00B14D4C" w:rsidRDefault="00000000">
      <w:r>
        <w:rPr>
          <w:i/>
          <w:color w:val="555555"/>
        </w:rPr>
        <w:t>Note: this is a benchmark-based proxy, not a full LTV model (the data only has D1/D7, no long-term retention curve).</w:t>
      </w:r>
    </w:p>
    <w:p w14:paraId="41657276" w14:textId="77777777" w:rsidR="00B14D4C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170A4A2D" wp14:editId="00CC5879">
            <wp:extent cx="4937760" cy="264798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4_g4_business_impa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647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50104" w14:textId="77777777" w:rsidR="00B14D4C" w:rsidRDefault="00000000">
      <w:pPr>
        <w:spacing w:after="200"/>
        <w:jc w:val="center"/>
      </w:pPr>
      <w:r>
        <w:rPr>
          <w:i/>
          <w:color w:val="555555"/>
          <w:sz w:val="22"/>
        </w:rPr>
        <w:t>Figure 4. Number of D7 users lost per month by traffic scale (if gate_40 is rolled out).</w:t>
      </w:r>
    </w:p>
    <w:p w14:paraId="4B64E2B9" w14:textId="77777777" w:rsidR="00B14D4C" w:rsidRDefault="00000000">
      <w:pPr>
        <w:keepNext/>
        <w:spacing w:before="240" w:after="100"/>
      </w:pPr>
      <w:r>
        <w:rPr>
          <w:b/>
          <w:sz w:val="30"/>
        </w:rPr>
        <w:t>6. Recommendation &amp; next steps</w:t>
      </w:r>
    </w:p>
    <w:p w14:paraId="785ABF2D" w14:textId="1EBDABCD" w:rsidR="00B14D4C" w:rsidRDefault="00000000">
      <w:r>
        <w:rPr>
          <w:b/>
        </w:rPr>
        <w:t xml:space="preserve">Recommendation: NO-GO -keep the gate at level 30, do not roll out gate 40.</w:t>
      </w:r>
    </w:p>
    <w:p w14:paraId="4C6517BC" w14:textId="77777777" w:rsidR="00B14D4C" w:rsidRDefault="00000000">
      <w:r>
        <w:t>Three findings reinforce the recommendation: (1) D7 retention drops significantly and beyond Bonferroni; (2) engagement does not improve to compensate; (3) the harm falls exactly on the core-user group (medium/heavy). No benefit was recorded to trade for the lost D7 retention.</w:t>
      </w:r>
    </w:p>
    <w:p w14:paraId="5D4C60D6" w14:textId="77777777" w:rsidR="00B14D4C" w:rsidRDefault="00000000">
      <w:pPr>
        <w:spacing w:after="40"/>
      </w:pPr>
      <w:r>
        <w:rPr>
          <w:b/>
        </w:rPr>
        <w:t>Suggested next steps:</w:t>
      </w:r>
    </w:p>
    <w:p w14:paraId="562BCDE7" w14:textId="77777777" w:rsidR="00B14D4C" w:rsidRDefault="00000000">
      <w:pPr>
        <w:pStyle w:val="ListBullet"/>
        <w:spacing w:after="60"/>
      </w:pPr>
      <w:r>
        <w:rPr>
          <w:b/>
        </w:rPr>
        <w:t xml:space="preserve">If you still want to optimize the gate placement: </w:t>
      </w:r>
      <w:r>
        <w:t>design a new A/B test trying an intermediate position (e.g. level 35) or a soft gate instead of a hard gate.</w:t>
      </w:r>
    </w:p>
    <w:p w14:paraId="698700CA" w14:textId="77777777" w:rsidR="00B14D4C" w:rsidRDefault="00000000">
      <w:pPr>
        <w:pStyle w:val="ListBullet"/>
        <w:spacing w:after="60"/>
      </w:pPr>
      <w:r>
        <w:rPr>
          <w:b/>
        </w:rPr>
        <w:t xml:space="preserve">Add revenue measurement </w:t>
      </w:r>
      <w:r>
        <w:t>in a future test to directly assess the monetization impact, instead of a proxy.</w:t>
      </w:r>
    </w:p>
    <w:p w14:paraId="7B363878" w14:textId="2AFD9E36" w:rsidR="00B14D4C" w:rsidRDefault="00000000">
      <w:pPr>
        <w:pStyle w:val="ListBullet"/>
        <w:spacing w:after="60"/>
      </w:pPr>
      <w:r>
        <w:rPr>
          <w:b/>
        </w:rPr>
        <w:t xml:space="preserve">Monitor the split ratio (SRM) </w:t>
      </w:r>
      <w:r>
        <w:t xml:space="preserve">more strictly in the next test -this time SRM passes at the project threshold (α = 0.001) but would "fail" at α = 0.05.</w:t>
      </w:r>
    </w:p>
    <w:p w14:paraId="6A2153CB" w14:textId="77777777" w:rsidR="00B14D4C" w:rsidRDefault="00000000">
      <w:pPr>
        <w:keepNext/>
        <w:spacing w:before="240" w:after="100"/>
      </w:pPr>
      <w:r>
        <w:rPr>
          <w:b/>
          <w:sz w:val="30"/>
        </w:rPr>
        <w:t>7. Messaging by stakeholder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8"/>
        <w:gridCol w:w="6308"/>
      </w:tblGrid>
      <w:tr w:rsidR="00B14D4C" w14:paraId="01B5A87B" w14:textId="77777777">
        <w:trPr>
          <w:jc w:val="center"/>
        </w:trPr>
        <w:tc>
          <w:tcPr>
            <w:tcW w:w="2592" w:type="dxa"/>
            <w:shd w:val="clear" w:color="auto" w:fill="D9D9D9"/>
          </w:tcPr>
          <w:p w14:paraId="1B988ADC" w14:textId="77777777" w:rsidR="00B14D4C" w:rsidRDefault="00000000">
            <w:r>
              <w:rPr>
                <w:b/>
                <w:sz w:val="22"/>
              </w:rPr>
              <w:t>Stakeholder</w:t>
            </w:r>
          </w:p>
        </w:tc>
        <w:tc>
          <w:tcPr>
            <w:tcW w:w="6480" w:type="dxa"/>
            <w:shd w:val="clear" w:color="auto" w:fill="D9D9D9"/>
          </w:tcPr>
          <w:p w14:paraId="4613D3EB" w14:textId="77777777" w:rsidR="00B14D4C" w:rsidRDefault="00000000">
            <w:r>
              <w:rPr>
                <w:b/>
                <w:sz w:val="22"/>
              </w:rPr>
              <w:t>Core message</w:t>
            </w:r>
          </w:p>
        </w:tc>
      </w:tr>
      <w:tr w:rsidR="00B14D4C" w14:paraId="7E8C5113" w14:textId="77777777">
        <w:trPr>
          <w:jc w:val="center"/>
        </w:trPr>
        <w:tc>
          <w:tcPr>
            <w:tcW w:w="2592" w:type="dxa"/>
          </w:tcPr>
          <w:p w14:paraId="310D1C73" w14:textId="77777777" w:rsidR="00B14D4C" w:rsidRDefault="00000000">
            <w:r>
              <w:rPr>
                <w:b/>
                <w:sz w:val="22"/>
              </w:rPr>
              <w:t>Product Manager</w:t>
            </w:r>
          </w:p>
        </w:tc>
        <w:tc>
          <w:tcPr>
            <w:tcW w:w="6480" w:type="dxa"/>
          </w:tcPr>
          <w:p w14:paraId="5F09303C" w14:textId="77777777" w:rsidR="00B14D4C" w:rsidRDefault="00000000">
            <w:r>
              <w:rPr>
                <w:sz w:val="22"/>
              </w:rPr>
              <w:t>NO-GO, no deploy schedule needed. The main risk if deployed: losing ~4.3% D7 retention in the core group.</w:t>
            </w:r>
          </w:p>
        </w:tc>
      </w:tr>
      <w:tr w:rsidR="00B14D4C" w14:paraId="35CA7355" w14:textId="77777777">
        <w:trPr>
          <w:jc w:val="center"/>
        </w:trPr>
        <w:tc>
          <w:tcPr>
            <w:tcW w:w="2592" w:type="dxa"/>
          </w:tcPr>
          <w:p w14:paraId="680F3997" w14:textId="77777777" w:rsidR="00B14D4C" w:rsidRDefault="00000000">
            <w:r>
              <w:rPr>
                <w:b/>
                <w:sz w:val="22"/>
              </w:rPr>
              <w:t>Game Designer</w:t>
            </w:r>
          </w:p>
        </w:tc>
        <w:tc>
          <w:tcPr>
            <w:tcW w:w="6480" w:type="dxa"/>
          </w:tcPr>
          <w:p w14:paraId="2B214114" w14:textId="77777777" w:rsidR="00B14D4C" w:rsidRDefault="00000000">
            <w:r>
              <w:rPr>
                <w:sz w:val="22"/>
              </w:rPr>
              <w:t>Gate_40 breaks the comeback habit of medium/heavy players; the light group is unaffected. Consider a soft gate / level 35.</w:t>
            </w:r>
          </w:p>
        </w:tc>
      </w:tr>
      <w:tr w:rsidR="00B14D4C" w14:paraId="31A00AA0" w14:textId="77777777">
        <w:trPr>
          <w:jc w:val="center"/>
        </w:trPr>
        <w:tc>
          <w:tcPr>
            <w:tcW w:w="2592" w:type="dxa"/>
          </w:tcPr>
          <w:p w14:paraId="32B76044" w14:textId="77777777" w:rsidR="00B14D4C" w:rsidRDefault="00000000">
            <w:r>
              <w:rPr>
                <w:b/>
                <w:sz w:val="22"/>
              </w:rPr>
              <w:t>Marketing Lead</w:t>
            </w:r>
          </w:p>
        </w:tc>
        <w:tc>
          <w:tcPr>
            <w:tcW w:w="6480" w:type="dxa"/>
          </w:tcPr>
          <w:p w14:paraId="3FF4E91E" w14:textId="69B229F0" w:rsidR="00B14D4C" w:rsidRDefault="00000000">
            <w:r>
              <w:rPr>
                <w:sz w:val="22"/>
              </w:rPr>
              <w:t xml:space="preserve">The D7 retention drop pulls the LTV proxy down to ~$2,454/month per </w:t>
              <w:lastRenderedPageBreak/>
              <w:t xml:space="preserve">100K installs (ARPDAU $0.10) -it affects CAC efficiency.</w:t>
            </w:r>
          </w:p>
        </w:tc>
      </w:tr>
      <w:tr w:rsidR="00B14D4C" w14:paraId="0295BB2C" w14:textId="77777777">
        <w:trPr>
          <w:jc w:val="center"/>
        </w:trPr>
        <w:tc>
          <w:tcPr>
            <w:tcW w:w="2592" w:type="dxa"/>
          </w:tcPr>
          <w:p w14:paraId="63C47716" w14:textId="77777777" w:rsidR="00B14D4C" w:rsidRDefault="00000000">
            <w:r>
              <w:rPr>
                <w:b/>
                <w:sz w:val="22"/>
              </w:rPr>
              <w:lastRenderedPageBreak/>
              <w:t>CEO / Leadership</w:t>
            </w:r>
          </w:p>
        </w:tc>
        <w:tc>
          <w:tcPr>
            <w:tcW w:w="6480" w:type="dxa"/>
          </w:tcPr>
          <w:p w14:paraId="03197477" w14:textId="77777777" w:rsidR="00B14D4C" w:rsidRDefault="00000000">
            <w:r>
              <w:rPr>
                <w:sz w:val="22"/>
              </w:rPr>
              <w:t>Keep the status quo. No upside; this change loses money at scale with traffic.</w:t>
            </w:r>
          </w:p>
        </w:tc>
      </w:tr>
    </w:tbl>
    <w:p w14:paraId="453A3478" w14:textId="77777777" w:rsidR="00B14D4C" w:rsidRDefault="00B14D4C">
      <w:pPr>
        <w:spacing w:after="80"/>
      </w:pPr>
    </w:p>
    <w:p w14:paraId="64FBB3E2" w14:textId="77777777" w:rsidR="00B14D4C" w:rsidRDefault="00000000">
      <w:pPr>
        <w:keepNext/>
        <w:spacing w:before="240" w:after="100"/>
      </w:pPr>
      <w:r>
        <w:rPr>
          <w:b/>
          <w:sz w:val="30"/>
        </w:rPr>
        <w:t>8. Limitations &amp; interpretation notes</w:t>
      </w:r>
    </w:p>
    <w:p w14:paraId="2730C490" w14:textId="77777777" w:rsidR="00B14D4C" w:rsidRDefault="00000000">
      <w:pPr>
        <w:pStyle w:val="ListBullet"/>
        <w:spacing w:after="60"/>
      </w:pPr>
      <w:r>
        <w:rPr>
          <w:b/>
        </w:rPr>
        <w:t xml:space="preserve">Nature of retention: </w:t>
      </w:r>
      <w:r>
        <w:t>the metric measures app opens, not necessarily gameplay (a working assumption from Phase 3).</w:t>
      </w:r>
    </w:p>
    <w:p w14:paraId="14F18B87" w14:textId="77777777" w:rsidR="00B14D4C" w:rsidRDefault="00000000">
      <w:pPr>
        <w:pStyle w:val="ListBullet"/>
        <w:spacing w:after="60"/>
      </w:pPr>
      <w:r>
        <w:rPr>
          <w:b/>
        </w:rPr>
        <w:t xml:space="preserve">Time scope: </w:t>
      </w:r>
      <w:r>
        <w:t>the data only covers the first 14 days; no long-term impact (D14+) can be concluded.</w:t>
      </w:r>
    </w:p>
    <w:p w14:paraId="11826AE6" w14:textId="77777777" w:rsidR="00B14D4C" w:rsidRDefault="00000000">
      <w:pPr>
        <w:pStyle w:val="ListBullet"/>
        <w:spacing w:after="60"/>
      </w:pPr>
      <w:r>
        <w:rPr>
          <w:b/>
        </w:rPr>
        <w:t xml:space="preserve">Revenue: </w:t>
      </w:r>
      <w:r>
        <w:t>no revenue data; every money figure is a benchmark-based proxy, not directly measured.</w:t>
      </w:r>
    </w:p>
    <w:p w14:paraId="534BBD84" w14:textId="77777777" w:rsidR="00B14D4C" w:rsidRDefault="00000000">
      <w:pPr>
        <w:pStyle w:val="ListBullet"/>
        <w:spacing w:after="60"/>
      </w:pPr>
      <w:r>
        <w:rPr>
          <w:b/>
        </w:rPr>
        <w:t xml:space="preserve">SRM: </w:t>
      </w:r>
      <w:r>
        <w:t>passes at the project threshold (α = 0.001) but not at 0.05; the large sample size was handled with effect size.</w:t>
      </w:r>
    </w:p>
    <w:p w14:paraId="1BB24121" w14:textId="77777777" w:rsidR="00B14D4C" w:rsidRDefault="00B14D4C">
      <w:pPr>
        <w:spacing w:after="40"/>
      </w:pPr>
    </w:p>
    <w:p w14:paraId="2079501A" w14:textId="5BA88628" w:rsidR="00B14D4C" w:rsidRDefault="00FE091D">
      <w:pPr>
        <w:jc w:val="center"/>
      </w:pPr>
      <w:r>
        <w:rPr>
          <w:i/>
          <w:color w:val="555555"/>
          <w:sz w:val="22"/>
        </w:rPr>
        <w:t>-End of the Phase 6 report —</w:t>
      </w:r>
    </w:p>
    <w:sectPr w:rsidR="00B14D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69236">
    <w:abstractNumId w:val="8"/>
  </w:num>
  <w:num w:numId="2" w16cid:durableId="1915964880">
    <w:abstractNumId w:val="6"/>
  </w:num>
  <w:num w:numId="3" w16cid:durableId="162742457">
    <w:abstractNumId w:val="5"/>
  </w:num>
  <w:num w:numId="4" w16cid:durableId="28191442">
    <w:abstractNumId w:val="4"/>
  </w:num>
  <w:num w:numId="5" w16cid:durableId="1323194935">
    <w:abstractNumId w:val="7"/>
  </w:num>
  <w:num w:numId="6" w16cid:durableId="2053847849">
    <w:abstractNumId w:val="3"/>
  </w:num>
  <w:num w:numId="7" w16cid:durableId="920606790">
    <w:abstractNumId w:val="2"/>
  </w:num>
  <w:num w:numId="8" w16cid:durableId="2111586614">
    <w:abstractNumId w:val="1"/>
  </w:num>
  <w:num w:numId="9" w16cid:durableId="2094936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39D1"/>
    <w:rsid w:val="00967528"/>
    <w:rsid w:val="00AA1D8D"/>
    <w:rsid w:val="00B14D4C"/>
    <w:rsid w:val="00B47730"/>
    <w:rsid w:val="00CB0664"/>
    <w:rsid w:val="00FC693F"/>
    <w:rsid w:val="00FE0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6A980D"/>
  <w14:defaultImageDpi w14:val="300"/>
  <w15:docId w15:val="{555D0E78-6EB5-473C-B6B3-6C0E19EDE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eastAsia="Times New Roman" w:hAnsi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953</Words>
  <Characters>5433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Xuân Quang</cp:lastModifiedBy>
  <cp:revision>2</cp:revision>
  <dcterms:created xsi:type="dcterms:W3CDTF">2013-12-23T23:15:00Z</dcterms:created>
  <dcterms:modified xsi:type="dcterms:W3CDTF">2026-08-08T14:38:00Z</dcterms:modified>
  <cp:category/>
</cp:coreProperties>
</file>