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0"/>
        <w:jc w:val="both"/>
        <w:rPr>
          <w:rFonts w:ascii="EB Garamond Medium" w:cs="EB Garamond Medium" w:eastAsia="EB Garamond Medium" w:hAnsi="EB Garamond Medium"/>
          <w:color w:val="ff0000"/>
          <w:sz w:val="30"/>
          <w:szCs w:val="30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ff0000"/>
          <w:sz w:val="30"/>
          <w:szCs w:val="30"/>
          <w:rtl w:val="0"/>
        </w:rPr>
        <w:t xml:space="preserve">1. Chủ đề:  sự tác động của chính sách nới lỏng tiền tệ lên nền kinh tế.</w:t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2. 3 Tài liệu học thuật:</w:t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a,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  <w:u w:val="none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Tên tài liệu: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“Large-Scale Asset Purchases by the Federal Reserve: Did They Work?”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  <w:u w:val="none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Tác giả: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Joseph Gagnon, Matthew Raskin, Julie Remache, Brian Sack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  <w:u w:val="none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Năm xuất bản: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2010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  <w:u w:val="none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Nguồn: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Federal Reserve Bank of New York Staff Report No. 441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b,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Tên tài liệu: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“The Financial-Market Effects of the Federal Reserve’s Large-Scale Asset Purchases”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Tác giả: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Joseph Gagnon, Matthew Raskin, Julie Remache, Brian Sack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Năm xuất bản: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2011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Nguồn: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International Journal of Central Banking / Federal Reserve Bank of New York Working Paper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c,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Tên tài liệu: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“The Effects of Quantitative Easing on Interest Rates: Channels and Implications for Policy”</w:t>
        <w:br w:type="textWrapping"/>
        <w:t xml:space="preserve">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Tác giả: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Arvind Krishnamurthy, Annette Vissing-Jørgensen</w:t>
        <w:br w:type="textWrapping"/>
        <w:t xml:space="preserve">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Năm xuất bản: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2011</w:t>
        <w:br w:type="textWrapping"/>
        <w:t xml:space="preserve">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Nguồn: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Brookings Papers on Economic Activity / NBER Working Paper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d,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Tên tài liệu: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“Quantitative Easing and Unconventional Monetary Policy — An Introduction”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Tác giả: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Michael Joyce, David Miles, Andrew Scott, Dimitri Vayanos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Năm xuất bản: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2012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Nguồn: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The Economic Journal, Royal Economic Society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e,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Tên tài liệu: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“The Zero Bound on Interest Rates and Optimal Monetary Policy”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Tác giả: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Gauti B. Eggertsson, Michael Woodford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Năm xuất bản: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2003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Nguồn: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Brookings Papers on Economic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f,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Tên tài liệu: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“Monetary Policy Alternatives at the Zero Bound: An Empirical Assessment”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Tác giả: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Ben S. Bernanke, Vincent Reinhart, Brian Sack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Năm xuất bản: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2004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Nguồn: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Finance and Economics Discussion Series, Federal Reserve Board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g,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Tên tài liệu: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“Unconventional Monetary Policies and the Macroeconomy: The Impact of the UK’s QE2 Programme”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Tác giả: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Richard Churm, Michael Joyce, et al.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Năm xuất bản: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2015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Nguồn: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Bank of England Staff Working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h,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Tên tài liệu: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“The Effects of Unconventional Monetary Policy on Financial Institutions”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Tác giả: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Gabriel Chodorow-Reich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Năm xuất bản: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2014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Nguồn: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Brookings Papers on Economic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k,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Tên tài liệu: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“The Effects of Unconventional Monetary Policy on Financial Institutions”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Tác giả: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Gabriel Chodorow-Reich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Năm xuất bản: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2014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Nguồn: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Brookings Papers on Economic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l,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Tên tài liệu: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“Unconventional Monetary Policy Tools: Recent Experience and Prospects”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Tác giả: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Bank for International Settlements (BIS) / Committee on the Global Financial System (CGFS)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Năm xuất bản: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2019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Nguồn: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BIS CGFS Paper No. 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m,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  <w:u w:val="none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Tên tài liệu: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“Evaluating Asset-Market Effects of Unconventional Monetary Policy: Cross-Country Evidence”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Tác giả: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John H. Rogers, Chiara Scotti, Jonathan H. Wright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Năm xuất bản: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2014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Nguồn: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Federal Reserve Board International Finance Discussion Papers (IFDP)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p,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  <w:u w:val="none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Tên tài liệu: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“The Economics of Money, Banking, and Financial Markets”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Tác giả: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Frederic S. Mishkin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Năm xuất bản: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2019 (13th Edition)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sz w:val="24"/>
          <w:szCs w:val="24"/>
          <w:rtl w:val="0"/>
        </w:rPr>
        <w:t xml:space="preserve">Nguồn: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Pearson Education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75.0" w:type="dxa"/>
        <w:jc w:val="left"/>
        <w:tblInd w:w="-4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625"/>
        <w:gridCol w:w="1095"/>
        <w:gridCol w:w="1305"/>
        <w:gridCol w:w="735"/>
        <w:gridCol w:w="1830"/>
        <w:gridCol w:w="2055"/>
        <w:tblGridChange w:id="0">
          <w:tblGrid>
            <w:gridCol w:w="630"/>
            <w:gridCol w:w="2625"/>
            <w:gridCol w:w="1095"/>
            <w:gridCol w:w="1305"/>
            <w:gridCol w:w="735"/>
            <w:gridCol w:w="1830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fff2cc" w:val="clear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fff2cc" w:val="clear"/>
                <w:rtl w:val="0"/>
              </w:rPr>
              <w:t xml:space="preserve">Tên tài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fff2cc" w:val="clear"/>
                <w:rtl w:val="0"/>
              </w:rPr>
              <w:t xml:space="preserve">Tác giả và Năm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fff2cc" w:val="clear"/>
                <w:rtl w:val="0"/>
              </w:rPr>
              <w:t xml:space="preserve">Cơ quan và nguồn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fff2cc" w:val="clear"/>
                <w:rtl w:val="0"/>
              </w:rPr>
              <w:t xml:space="preserve">Mức độ tin cậy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fff2cc" w:val="clear"/>
                <w:rtl w:val="0"/>
              </w:rPr>
              <w:t xml:space="preserve">theo thang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fff2cc" w:val="clear"/>
                <w:rtl w:val="0"/>
              </w:rPr>
              <w:t xml:space="preserve">Đánh giá theo 5 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fff2cc" w:val="clear"/>
                <w:rtl w:val="0"/>
              </w:rPr>
              <w:t xml:space="preserve">Nhận xét tổng quan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Large-Scale Asset Purchases by the Federal Reserve: Did They Work?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Gagnon et al. (2010)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NY Fed Staff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4/5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90"/>
              <w:tblGridChange w:id="0">
                <w:tblGrid>
                  <w:gridCol w:w="89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jc w:val="left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5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30"/>
              <w:tblGridChange w:id="0">
                <w:tblGrid>
                  <w:gridCol w:w="1530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Em thấy tác giả uy tín, cơ quan chính thống, phương pháp định lượng, được trích dẫn &gt;4000 lần, tuy hơi cũ</w:t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Cực kỳ đáng tin, nền tảng cho các nghiên cứu sau về QE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Financial-Market Effects of the Federal Reserve’s LSAPs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Gagnon et al. (2011)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NY Fed / IJCB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5/5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5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45"/>
              <w:tblGridChange w:id="0">
                <w:tblGrid>
                  <w:gridCol w:w="154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Theo em, tác giả và cơ quan uy tín, mô hình sự kiện (event-stdy) chuẩn, trích dẫn cao, cập nhật tốt</w:t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 một nghiên cứu gốc, rất đáng tin, bằng chứng định lượng rõ ràng, thuyết phục.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Effects of QE on Interest Rates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Krishnamurthy &amp; Vissing-Jørgensen (2011)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Brookings / NBER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5/5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Đây là hai chuyên gia hàng đầu tài chính, cơ quan hàng đầu, phân tích nhiều kênh truyền, trích dẫn 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Mẫu hình mực của thời đại, dùng trong nhiều meta-analysis.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QE and Unconventional Monetary Policy — An Introduction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Joyce et al. (2012)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Economic Journal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4/5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Một trong những tạp chí top-tier, tổng hợp lý thuyết và thực nghiệm, trích dẫn &gt;2000, khá uy tín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hợp tốt, nhưng không có phân tích dữ liệu gốc.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Zero Bound on Interest Rates and Optimal Monetary 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Eggertsson &amp; Woodford (2003)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Brookings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4/5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Được làm bởi hai nhà kinh tế hàng đầu (Columbia), mô hình DSGE, tuy cũ nhưng có vai trò rất nền tảng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Kinh điển, độ tin cậy cao nhưng thiếu cập nhật theo thời đại.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Monetary Policy Alternatives at the Zero Bound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Bernanke et al. (2004)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Fed 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5/5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Được Bernanke – Chủ tịch Fed, thực nghiệm &amp; mô phỏng, một cơ quan uy tín tuyệt đối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Rất đáng tin, nó nền tảng chính sách hậu khủng hoảng 2008.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Unconventional Monetary Policies and the Macroeconomy (UK QE2)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Churm &amp; Joyce (2015)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BoE Staff Paper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4/5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Cơ quan NHTW Anh, phân tích mô hình cấu trúc, dữ liệu mới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Tin cậy cao</w:t>
            </w:r>
          </w:p>
        </w:tc>
      </w:tr>
      <w:tr>
        <w:trPr>
          <w:cantSplit w:val="0"/>
          <w:trHeight w:val="1220.77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2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65"/>
              <w:tblGridChange w:id="0">
                <w:tblGrid>
                  <w:gridCol w:w="226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sz w:val="26"/>
                      <w:szCs w:val="26"/>
                      <w:rtl w:val="0"/>
                    </w:rPr>
                    <w:t xml:space="preserve">The Effects of UMP on Financial Institutions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widowControl w:val="0"/>
                    <w:spacing w:line="240" w:lineRule="auto"/>
                    <w:jc w:val="left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Chodorow-Reich (2014)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Brookings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5/5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Phân tích ngân hàng và bảo hiểm, dữ liệu vi mô, tác giả hàng đầu Harvard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Mạnh về chiều sâu thực chứng hơn.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Unconventional Monetary Policies — IMF Paper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IMF (2013)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IMF Policy Paper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4/5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 chức quốc tế, tổng hợp đa quốc gia, cập nhật đến 2013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hợp tốt nhưng còn hơi mang tính mô tả.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2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65"/>
              <w:tblGridChange w:id="0">
                <w:tblGrid>
                  <w:gridCol w:w="226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sz w:val="26"/>
                      <w:szCs w:val="26"/>
                      <w:rtl w:val="0"/>
                    </w:rPr>
                    <w:t xml:space="preserve">Unconventional Monetary Policy Tools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BIS / CGFS (2019)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5/5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Báo cáo kỹ thuật hàng đầu, phân tích có tính thực nghiệm, cập nhật nhất hiệnnay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Rất đáng tin, nguồn thể chế trung lập trên toàn cầu.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22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65"/>
              <w:tblGridChange w:id="0">
                <w:tblGrid>
                  <w:gridCol w:w="2265"/>
                </w:tblGrid>
              </w:tblGridChange>
            </w:tblGrid>
            <w:tr>
              <w:trPr>
                <w:cantSplit w:val="0"/>
                <w:trHeight w:val="32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sz w:val="26"/>
                      <w:szCs w:val="26"/>
                      <w:rtl w:val="0"/>
                    </w:rPr>
                    <w:t xml:space="preserve">Evaluating Asset-Market Effects of UMP — Cross-Country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Rogers, Scotti &amp; Wright (2014)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Fed IFDP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4/5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Nghiên cứu liên quốc gia, phương pháp thống kê rất hiện đại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Tin cậy cao, so sánh tốt nhưng ít dữ liệu mới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Economics of Money, Banking, and Financial Markets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Mishkin (2019)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Pearson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5/5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Sách giáo khoa chuẩn quốc tế, liên tục tái bản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Nguồn tổng hợp đáng tin cậy, cập nhật.</w:t>
            </w:r>
          </w:p>
        </w:tc>
      </w:tr>
    </w:tbl>
    <w:p w:rsidR="00000000" w:rsidDel="00000000" w:rsidP="00000000" w:rsidRDefault="00000000" w:rsidRPr="00000000" w14:paraId="000000B1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