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SoraWorks scenario facts</w:t>
      </w:r>
    </w:p>
    <w:p>
      <w:pPr>
        <w:pStyle w:val="Subtitle"/>
      </w:pPr>
      <w:r>
        <w:t>Teammate handoff · Two connected changes · All times JST (Asia/Tokyo)</w:t>
      </w:r>
    </w:p>
    <w:p>
      <w:pPr/>
      <w:r>
        <w:t xml:space="preserve">The fictional company is </w:t>
      </w:r>
      <w:r>
        <w:rPr>
          <w:b/>
        </w:rPr>
        <w:t>SoraWorks Japan</w:t>
      </w:r>
      <w:r>
        <w:t xml:space="preserve">, a Japanese B2B enterprise-software and implementation-services company. Its exact fixture display name is </w:t>
      </w:r>
      <w:r>
        <w:rPr>
          <w:b/>
        </w:rPr>
        <w:t>SoraWorks Japan (synthetic)</w:t>
      </w:r>
      <w:r>
        <w:t xml:space="preserve">; the video brief shortens this to </w:t>
      </w:r>
      <w:r>
        <w:rPr>
          <w:b/>
        </w:rPr>
        <w:t>SoraWorks</w:t>
      </w:r>
      <w:r>
        <w:t xml:space="preserve">. The customer is </w:t>
      </w:r>
      <w:r>
        <w:rPr>
          <w:b/>
        </w:rPr>
        <w:t>Hikari Manufacturing</w:t>
      </w:r>
      <w:r>
        <w:t xml:space="preserve">. The facts below use the archived </w:t>
      </w:r>
      <w:r>
        <w:rPr>
          <w:b/>
        </w:rPr>
        <w:t>tiny, seed-17</w:t>
      </w:r>
      <w:r>
        <w:t xml:space="preserve"> scenario (25 employees, four teams), with two new story names mapped to the original IDs on page 2. All people and events are synthetic.</w:t>
      </w:r>
    </w:p>
    <w:p>
      <w:pPr>
        <w:pStyle w:val="Heading2"/>
      </w:pPr>
      <w:r>
        <w:t>Change A — the deadline moves earlier</w:t>
      </w:r>
    </w:p>
    <w:p>
      <w:pPr/>
      <w:r>
        <w:t xml:space="preserve">At </w:t>
      </w:r>
      <w:r>
        <w:rPr>
          <w:b/>
        </w:rPr>
        <w:t>Monday, 28 September 2026, 09:00</w:t>
      </w:r>
      <w:r>
        <w:t xml:space="preserve">, Hikari requests its reporting demonstration by </w:t>
      </w:r>
      <w:r>
        <w:rPr>
          <w:b/>
        </w:rPr>
        <w:t>Wednesday, 30 September, 15:00</w:t>
      </w:r>
      <w:r>
        <w:t xml:space="preserve">, instead of </w:t>
      </w:r>
      <w:r>
        <w:rPr>
          <w:b/>
        </w:rPr>
        <w:t>Friday, 2 October, 15:00</w:t>
      </w:r>
      <w:r>
        <w:t xml:space="preserve">. Hikari project manager </w:t>
      </w:r>
      <w:r>
        <w:rPr>
          <w:b/>
        </w:rPr>
        <w:t>Emi Tanaka (e0000)</w:t>
      </w:r>
      <w:r>
        <w:t xml:space="preserve"> explicitly confirms the earlier deadline in the fixture; the original Friday commitment remains in history.</w:t>
      </w:r>
    </w:p>
    <w:p>
      <w:pPr/>
      <w:r>
        <w:t xml:space="preserve">The required chain is </w:t>
      </w:r>
      <w:r>
        <w:rPr>
          <w:b/>
        </w:rPr>
        <w:t>Reporting API → Reporting dashboard → QA validation → Security review → Customer demo</w:t>
      </w:r>
      <w:r>
        <w:t xml:space="preserve">. The owners, in that order, are </w:t>
      </w:r>
      <w:r>
        <w:rPr>
          <w:b/>
        </w:rPr>
        <w:t>Sora → Yui → Nao → Kaito → Akari</w:t>
      </w:r>
      <w:r>
        <w:t>. Finishing the demo requires the upstream work and checks to finish first.</w:t>
      </w:r>
    </w:p>
    <w:p>
      <w:pPr>
        <w:pStyle w:val="Heading2"/>
      </w:pPr>
      <w:r>
        <w:t>Change B — a Critical incident becomes the priority</w:t>
      </w:r>
    </w:p>
    <w:p>
      <w:pPr/>
      <w:r>
        <w:t xml:space="preserve">At </w:t>
      </w:r>
      <w:r>
        <w:rPr>
          <w:b/>
        </w:rPr>
        <w:t>Monday, 28 September, 10:00</w:t>
      </w:r>
      <w:r>
        <w:t xml:space="preserve">, a </w:t>
      </w:r>
      <w:r>
        <w:rPr>
          <w:b/>
        </w:rPr>
        <w:t>Sev-1 SSO login failure affecting multiple enterprise customers</w:t>
      </w:r>
      <w:r>
        <w:t xml:space="preserve"> is declared </w:t>
      </w:r>
      <w:r>
        <w:rPr>
          <w:b/>
        </w:rPr>
        <w:t>Critical</w:t>
      </w:r>
      <w:r>
        <w:t xml:space="preserve"> by the authorised </w:t>
      </w:r>
      <w:r>
        <w:rPr>
          <w:b/>
        </w:rPr>
        <w:t>incident-commander</w:t>
      </w:r>
      <w:r>
        <w:t xml:space="preserve">. This is new urgent incident work; the records do not give it a previous priority. Incident tasks have priority </w:t>
      </w:r>
      <w:r>
        <w:rPr>
          <w:b/>
        </w:rPr>
        <w:t>0</w:t>
      </w:r>
      <w:r>
        <w:t xml:space="preserve">, ahead of Hikari’s </w:t>
      </w:r>
      <w:r>
        <w:rPr>
          <w:b/>
        </w:rPr>
        <w:t>1</w:t>
      </w:r>
      <w:r>
        <w:t xml:space="preserve">. </w:t>
      </w:r>
      <w:r>
        <w:rPr>
          <w:b/>
        </w:rPr>
        <w:t>Ren (e0001)</w:t>
      </w:r>
      <w:r>
        <w:t xml:space="preserve"> manages the incident project; the commander is a separate authority with no personal name in the fixture.</w:t>
      </w:r>
    </w:p>
    <w:p>
      <w:pPr/>
      <w:r>
        <w:t xml:space="preserve">The incident chain is </w:t>
      </w:r>
      <w:r>
        <w:rPr>
          <w:b/>
        </w:rPr>
        <w:t>Triage (Riku) → Diagnosis/hotfix (Haruto Sato, e0010) → Security review (Kaito) → Smoke test (Nao) → Deploy/verify (Riku)</w:t>
      </w:r>
      <w:r>
        <w:t xml:space="preserve">. The objective is to restore service as soon as possible; the fixture’s incident task deadline is also </w:t>
      </w:r>
      <w:r>
        <w:rPr>
          <w:b/>
        </w:rPr>
        <w:t>Wednesday, 30 September, 15:00</w:t>
      </w:r>
      <w:r>
        <w:t>.</w:t>
      </w:r>
    </w:p>
    <w:p>
      <w:pPr>
        <w:pStyle w:val="Heading2"/>
      </w:pPr>
      <w:r>
        <w:t>The conflict — the same two specialists are needed</w:t>
      </w:r>
    </w:p>
    <w:p>
      <w:pPr/>
      <w:r>
        <w:rPr>
          <w:b/>
        </w:rPr>
        <w:t>Kaito supplies Security review and Nao supplies QA for both chains.</w:t>
      </w:r>
      <w:r>
        <w:t xml:space="preserve"> Ready Critical incident work gets contested capacity first, while Hikari’s Wednesday deadline still holds. Started/protected work stays locked; priority does not authorise overtime or deadline extensions. Kaito also has a protected private reservation </w:t>
      </w:r>
      <w:r>
        <w:rPr>
          <w:b/>
        </w:rPr>
        <w:t>Tuesday, 29 September, 14:00–16:00</w:t>
      </w:r>
      <w:r>
        <w:t>; its underlying reason is not identified as HR work.</w:t>
      </w:r>
    </w:p>
    <w:p>
      <w:pPr/>
      <w:r>
        <w:t xml:space="preserve">The archived synthetic baseline makes the clash concrete: Nao’s Hikari QA was planned for </w:t>
      </w:r>
      <w:r>
        <w:rPr>
          <w:b/>
        </w:rPr>
        <w:t>Monday 13:00–14:00</w:t>
      </w:r>
      <w:r>
        <w:t xml:space="preserve">, but incident smoke testing takes </w:t>
      </w:r>
      <w:r>
        <w:rPr>
          <w:b/>
        </w:rPr>
        <w:t>13:00–13:30</w:t>
      </w:r>
      <w:r>
        <w:t xml:space="preserve">. Hikari QA shifts to </w:t>
      </w:r>
      <w:r>
        <w:rPr>
          <w:b/>
        </w:rPr>
        <w:t>13:30–14:30</w:t>
      </w:r>
      <w:r>
        <w:t xml:space="preserve">, Kaito’s Hikari review to </w:t>
      </w:r>
      <w:r>
        <w:rPr>
          <w:b/>
        </w:rPr>
        <w:t>14:30–15:30</w:t>
      </w:r>
      <w:r>
        <w:t xml:space="preserve">, and Akari’s demo to </w:t>
      </w:r>
      <w:r>
        <w:rPr>
          <w:b/>
        </w:rPr>
        <w:t>15:30–16:30</w:t>
      </w:r>
      <w:r>
        <w:t>. Each moves 30 minutes; the Wednesday deadline remains unchanged. This is a recorded synthetic schedule example, not a live product result.</w:t>
      </w:r>
    </w:p>
    <w:p>
      <w:pPr>
        <w:pStyle w:val="Heading2"/>
        <w:pageBreakBefore/>
        <w:spacing w:before="0"/>
      </w:pPr>
      <w:r>
        <w:t>People and team names</w:t>
      </w:r>
    </w:p>
    <w:p>
      <w:pPr/>
      <w:r>
        <w:t xml:space="preserve">For this handoff, </w:t>
      </w:r>
      <w:r>
        <w:rPr>
          <w:b/>
        </w:rPr>
        <w:t>Emi Tanaka (e0000)</w:t>
      </w:r>
      <w:r>
        <w:t xml:space="preserve"> replaces </w:t>
      </w:r>
      <w:r>
        <w:rPr>
          <w:b/>
        </w:rPr>
        <w:t>Aoi / 架空 0001</w:t>
      </w:r>
      <w:r>
        <w:t xml:space="preserve">, and </w:t>
      </w:r>
      <w:r>
        <w:rPr>
          <w:b/>
        </w:rPr>
        <w:t>Haruto Sato (e0010)</w:t>
      </w:r>
      <w:r>
        <w:t xml:space="preserve"> replaces </w:t>
      </w:r>
      <w:r>
        <w:rPr>
          <w:b/>
        </w:rPr>
        <w:t>Aoi / 架空 0011</w:t>
      </w:r>
      <w:r>
        <w:t>. These are story display names; archived records retain the original labels and IDs. Other names below match the fixture.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870"/>
        <w:gridCol w:w="1110"/>
        <w:gridCol w:w="5380"/>
      </w:tblGrid>
      <w:tr>
        <w:trPr>
          <w:cantSplit/>
          <w:tblHeader/>
        </w:trPr>
        <w:tc>
          <w:tcPr>
            <w:tcW w:type="dxa" w:w="287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Employee display name</w:t>
            </w:r>
          </w:p>
        </w:tc>
        <w:tc>
          <w:tcPr>
            <w:tcW w:type="dxa" w:w="11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ID</w:t>
            </w:r>
          </w:p>
        </w:tc>
        <w:tc>
          <w:tcPr>
            <w:tcW w:type="dxa" w:w="538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Scenario responsibility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Emi Tanaka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e0000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Hikari manager; confirms deadline change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Ren / 架空 0002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e0001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Incident project manager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Sora / 架空 0005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e0004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Hikari Reporting API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Yui / 架空 0006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e0005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Hikari Reporting dashboard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Kaito / 架空 0007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e0006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Shared Security reviewer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Nao / 架空 0008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e0007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Hikari QA; incident smoke test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Akari / 架空 0009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e0008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Hikari Customer demo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Riku / 架空 0010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e0009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Incident triage and deploy/verify (SRE)</w:t>
            </w:r>
          </w:p>
        </w:tc>
      </w:tr>
      <w:tr>
        <w:trPr>
          <w:cantSplit/>
        </w:trPr>
        <w:tc>
          <w:tcPr>
            <w:tcW w:type="dxa" w:w="287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Haruto Sato</w:t>
            </w:r>
          </w:p>
        </w:tc>
        <w:tc>
          <w:tcPr>
            <w:tcW w:type="dxa" w:w="11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e0010</w:t>
            </w:r>
          </w:p>
        </w:tc>
        <w:tc>
          <w:tcPr>
            <w:tcW w:type="dxa" w:w="53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Incident Diagnosis/hotfix (SSO)</w:t>
            </w:r>
          </w:p>
        </w:tc>
      </w:tr>
    </w:tbl>
    <w:p>
      <w:pPr>
        <w:spacing w:before="120"/>
      </w:pPr>
      <w:r>
        <w:t>The four exact team names in this reference fixture are: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3200"/>
        <w:gridCol w:w="1450"/>
        <w:gridCol w:w="4710"/>
      </w:tblGrid>
      <w:tr>
        <w:trPr>
          <w:cantSplit/>
          <w:tblHeader/>
        </w:trPr>
        <w:tc>
          <w:tcPr>
            <w:tcW w:type="dxa" w:w="320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Team name</w:t>
            </w:r>
          </w:p>
        </w:tc>
        <w:tc>
          <w:tcPr>
            <w:tcW w:type="dxa" w:w="145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Team ID</w:t>
            </w:r>
          </w:p>
        </w:tc>
        <w:tc>
          <w:tcPr>
            <w:tcW w:type="dxa" w:w="4710"/>
            <w:vAlign w:val="center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rPr>
                <w:b/>
              </w:rPr>
              <w:t>Manager display name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Engineering 1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team-000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Emi Tanaka (e0000)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Product / Planning 2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team-001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Ren / 架空 0002 (e0001)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Design 3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team-002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Haru / 架空 0003 (e0002)</w:t>
            </w:r>
          </w:p>
        </w:tc>
      </w:tr>
      <w:tr>
        <w:trPr>
          <w:cantSplit/>
        </w:trPr>
        <w:tc>
          <w:tcPr>
            <w:tcW w:type="dxa" w:w="3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Sales / Partnerships 4</w:t>
            </w:r>
          </w:p>
        </w:tc>
        <w:tc>
          <w:tcPr>
            <w:tcW w:type="dxa" w:w="145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team-003</w:t>
            </w:r>
          </w:p>
        </w:tc>
        <w:tc>
          <w:tcPr>
            <w:tcW w:type="dxa" w:w="471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pStyle w:val="TableBody"/>
            </w:pPr>
            <w:r>
              <w:t>Mio / 架空 0004 (e0003)</w:t>
            </w:r>
          </w:p>
        </w:tc>
      </w:tr>
    </w:tbl>
    <w:p>
      <w:pPr>
        <w:spacing w:before="120"/>
      </w:pPr>
      <w:r>
        <w:rPr>
          <w:b/>
        </w:rPr>
        <w:t>Hikari reporting demo</w:t>
      </w:r>
      <w:r>
        <w:t xml:space="preserve"> belongs to Engineering 1; </w:t>
      </w:r>
      <w:r>
        <w:rPr>
          <w:b/>
        </w:rPr>
        <w:t>SSO incident response</w:t>
      </w:r>
      <w:r>
        <w:t xml:space="preserve"> belongs to Product / Planning 2. QA and Security are specialist roles in this fixture, not separate named teams. Shared employees have multiple team memberships. The optional HR onboarding case is outside the two-change story. Neither the customer stakeholder nor the incident commander has a supplied personal name; a named call cast would need an explicit fictional naming decision.</w:t>
      </w:r>
    </w:p>
    <w:p>
      <w:pPr>
        <w:pStyle w:val="Heading2"/>
      </w:pPr>
      <w:r>
        <w:t>Source records</w:t>
      </w:r>
    </w:p>
    <w:p>
      <w:pPr>
        <w:pStyle w:val="SourceText"/>
      </w:pPr>
      <w:hyperlink r:id="rId11">
        <w:r>
          <w:rPr>
            <w:color w:val="2E74B5"/>
          </w:rPr>
          <w:t>Scenario definition</w:t>
        </w:r>
      </w:hyperlink>
      <w:r>
        <w:t xml:space="preserve"> (§2) and </w:t>
      </w:r>
      <w:hyperlink r:id="rId12">
        <w:r>
          <w:rPr>
            <w:color w:val="2E74B5"/>
          </w:rPr>
          <w:t>video brief</w:t>
        </w:r>
      </w:hyperlink>
      <w:r>
        <w:t xml:space="preserve"> (§2); </w:t>
      </w:r>
      <w:hyperlink r:id="rId13">
        <w:r>
          <w:rPr>
            <w:color w:val="2E74B5"/>
          </w:rPr>
          <w:t>archived identities and commitments</w:t>
        </w:r>
      </w:hyperlink>
      <w:r>
        <w:t xml:space="preserve">; </w:t>
      </w:r>
      <w:hyperlink r:id="rId14">
        <w:r>
          <w:rPr>
            <w:color w:val="2E74B5"/>
          </w:rPr>
          <w:t>Change A event</w:t>
        </w:r>
      </w:hyperlink>
      <w:r>
        <w:t xml:space="preserve">; </w:t>
      </w:r>
      <w:hyperlink r:id="rId15">
        <w:r>
          <w:rPr>
            <w:color w:val="2E74B5"/>
          </w:rPr>
          <w:t>Change B event</w:t>
        </w:r>
      </w:hyperlink>
      <w:r>
        <w:t xml:space="preserve">; </w:t>
      </w:r>
      <w:hyperlink r:id="rId16">
        <w:r>
          <w:rPr>
            <w:color w:val="2E74B5"/>
          </w:rPr>
          <w:t>before B</w:t>
        </w:r>
      </w:hyperlink>
      <w:r>
        <w:t xml:space="preserve"> and </w:t>
      </w:r>
      <w:hyperlink r:id="rId17">
        <w:r>
          <w:rPr>
            <w:color w:val="2E74B5"/>
          </w:rPr>
          <w:t>B baseline schedule</w:t>
        </w:r>
      </w:hyperlink>
      <w:r>
        <w:t xml:space="preserve">. Task owners, priorities and incident deadline also match </w:t>
      </w:r>
      <w:hyperlink r:id="rId18">
        <w:r>
          <w:rPr>
            <w:color w:val="2E74B5"/>
          </w:rPr>
          <w:t>fixture generation</w:t>
        </w:r>
      </w:hyperlink>
      <w:r>
        <w:t>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Synthetic scenario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ALTO  /  SCENARIO FACTS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" w:hAnsi="Arial" w:eastAsia="Hiragino Sans"/>
      <w:b w:val="0"/>
      <w:i w:val="0"/>
      <w:color w:val="20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Arial" w:hAnsi="Arial" w:eastAsia="Hiragino Sans"/>
      <w:b w:val="0"/>
      <w:i w:val="0"/>
      <w:color w:val="5B6570"/>
      <w:sz w:val="1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Arial" w:hAnsi="Arial" w:eastAsia="Hiragino Sans"/>
      <w:b w:val="0"/>
      <w:i w:val="0"/>
      <w:color w:val="5B6570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cstheme="majorBidi" w:ascii="Arial" w:hAnsi="Arial" w:eastAsia="Hiragino Sans"/>
      <w:b/>
      <w:bCs/>
      <w:i w:val="0"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cstheme="majorBidi" w:ascii="Arial" w:hAnsi="Arial" w:eastAsia="Hiragino Sans"/>
      <w:b/>
      <w:bCs/>
      <w:i w:val="0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cstheme="majorBidi" w:ascii="Arial" w:hAnsi="Arial" w:eastAsia="Hiragino Sans"/>
      <w:b/>
      <w:bCs/>
      <w:i w:val="0"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00" w:line="264" w:lineRule="auto" w:before="0"/>
      <w:contextualSpacing/>
    </w:pPr>
    <w:rPr>
      <w:rFonts w:cstheme="majorBidi" w:ascii="Arial" w:hAnsi="Arial" w:eastAsia="Hiragino Sans"/>
      <w:b/>
      <w:i w:val="0"/>
      <w:color w:val="0B254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240" w:line="264" w:lineRule="auto"/>
    </w:pPr>
    <w:rPr>
      <w:rFonts w:cstheme="majorBidi" w:ascii="Arial" w:hAnsi="Arial" w:eastAsia="Hiragino Sans"/>
      <w:b w:val="0"/>
      <w:i w:val="0"/>
      <w:iCs/>
      <w:color w:val="5B657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Body">
    <w:name w:val="Table Body"/>
    <w:pPr>
      <w:widowControl/>
      <w:spacing w:before="0" w:after="0" w:line="252" w:lineRule="auto"/>
    </w:pPr>
    <w:rPr>
      <w:rFonts w:ascii="Arial" w:hAnsi="Arial" w:eastAsia="Hiragino Sans"/>
      <w:b w:val="0"/>
      <w:i w:val="0"/>
      <w:color w:val="202529"/>
      <w:sz w:val="20"/>
    </w:rPr>
  </w:style>
  <w:style w:type="paragraph" w:customStyle="1" w:styleId="SourceText">
    <w:name w:val="Source Text"/>
    <w:pPr>
      <w:widowControl/>
      <w:spacing w:before="80" w:after="80" w:line="252" w:lineRule="auto"/>
    </w:pPr>
    <w:rPr>
      <w:rFonts w:ascii="Arial" w:hAnsi="Arial" w:eastAsia="Hiragino Sans"/>
      <w:b w:val="0"/>
      <w:i w:val="0"/>
      <w:color w:val="5B65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simulation_implementation_prompt.md" TargetMode="External"/><Relationship Id="rId12" Type="http://schemas.openxmlformats.org/officeDocument/2006/relationships/hyperlink" Target="demo-video-production-prompt.md" TargetMode="External"/><Relationship Id="rId13" Type="http://schemas.openxmlformats.org/officeDocument/2006/relationships/hyperlink" Target="../runs/benchmark-43329a535133469887a6e9517b1d8977/initial.json" TargetMode="External"/><Relationship Id="rId14" Type="http://schemas.openxmlformats.org/officeDocument/2006/relationships/hyperlink" Target="../runs/benchmark-43329a535133469887a6e9517b1d8977/A-naive/event.json" TargetMode="External"/><Relationship Id="rId15" Type="http://schemas.openxmlformats.org/officeDocument/2006/relationships/hyperlink" Target="../runs/benchmark-43329a535133469887a6e9517b1d8977/B-naive/event.json" TargetMode="External"/><Relationship Id="rId16" Type="http://schemas.openxmlformats.org/officeDocument/2006/relationships/hyperlink" Target="../runs/benchmark-43329a535133469887a6e9517b1d8977/B-naive/before.json" TargetMode="External"/><Relationship Id="rId17" Type="http://schemas.openxmlformats.org/officeDocument/2006/relationships/hyperlink" Target="../runs/benchmark-43329a535133469887a6e9517b1d8977/B-naive/outcome.json" TargetMode="External"/><Relationship Id="rId18" Type="http://schemas.openxmlformats.org/officeDocument/2006/relationships/hyperlink" Target="../coordination_sim/benchmark/generatio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SoraWorks scenario facts</dc:title>
  <dc:subject>Exact synthetic identities, deadline change, priority change and shared-capacity conflict</dc:subject>
  <dc:creator>ALTO</dc:creator>
  <cp:keywords>synthetic; scenario; Hikari; SSO; teammate handoff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