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Synthetic Company Simulation</w:t>
        <w:br/>
        <w:t>Specification</w:t>
      </w:r>
    </w:p>
    <w:p>
      <w:r>
        <w:rPr>
          <w:b/>
          <w:color w:val="2F75B5"/>
          <w:sz w:val="26"/>
        </w:rPr>
        <w:t>Coordination Engine · Recruit Holdings Innovation Cup 2026</w:t>
      </w:r>
    </w:p>
    <w:p>
      <w:r>
        <w:rPr>
          <w:i/>
          <w:color w:val="666666"/>
          <w:sz w:val="21"/>
        </w:rPr>
        <w:t>Implementation handoff for Codex agents</w:t>
      </w: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
              <w:t>Locked simulation concept</w:t>
            </w:r>
            <w:r>
              <w:br/>
            </w:r>
            <w:r>
              <w:t>A fictional ~3,000-person Japanese B2B enterprise-software and implementation-services company. The main demo contains exactly two connected changes: (A) a customer deadline pull-in and (B) a newly declared critical-priority production incident. The full company is large, but each change is solved over the dynamically affected subgraph while preserving cross-team privacy, existing commitments and explicit authority.</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Mar>
              <w:top w:w="70" w:type="dxa"/>
              <w:start w:w="90" w:type="dxa"/>
              <w:bottom w:w="70" w:type="dxa"/>
              <w:end w:w="90" w:type="dxa"/>
            </w:tcMar>
          </w:tcPr>
          <w:p>
            <w:pPr>
              <w:jc w:val="left"/>
            </w:pPr>
            <w:r>
              <w:rPr>
                <w:rFonts w:ascii="Arial" w:hAnsi="Arial"/>
                <w:b/>
                <w:color w:val="FFFFFF"/>
                <w:sz w:val="18"/>
              </w:rPr>
              <w:t>Field</w:t>
            </w:r>
          </w:p>
        </w:tc>
        <w:tc>
          <w:tcPr>
            <w:tcW w:type="dxa" w:w="7056"/>
            <w:shd w:fill="17365D"/>
            <w:vAlign w:val="center"/>
            <w:tcMar>
              <w:top w:w="70" w:type="dxa"/>
              <w:start w:w="90" w:type="dxa"/>
              <w:bottom w:w="70" w:type="dxa"/>
              <w:end w:w="90" w:type="dxa"/>
            </w:tcMar>
          </w:tcPr>
          <w:p>
            <w:pPr>
              <w:jc w:val="left"/>
            </w:pPr>
            <w:r>
              <w:rPr>
                <w:rFonts w:ascii="Arial" w:hAnsi="Arial"/>
                <w:b/>
                <w:color w:val="FFFFFF"/>
                <w:sz w:val="18"/>
              </w:rPr>
              <w:t>Locked default</w:t>
            </w:r>
          </w:p>
        </w:tc>
      </w:tr>
      <w:tr>
        <w:tc>
          <w:tcPr>
            <w:tcW w:type="dxa" w:w="2880"/>
            <w:vAlign w:val="top"/>
            <w:tcMar>
              <w:top w:w="70" w:type="dxa"/>
              <w:start w:w="90" w:type="dxa"/>
              <w:bottom w:w="70" w:type="dxa"/>
              <w:end w:w="90" w:type="dxa"/>
            </w:tcMar>
          </w:tcPr>
          <w:p>
            <w:pPr>
              <w:spacing w:after="0"/>
            </w:pPr>
            <w:r>
              <w:rPr>
                <w:rFonts w:ascii="Arial" w:hAnsi="Arial"/>
                <w:sz w:val="18"/>
              </w:rPr>
              <w:t>Company type</w:t>
            </w:r>
          </w:p>
        </w:tc>
        <w:tc>
          <w:tcPr>
            <w:tcW w:type="dxa" w:w="7056"/>
            <w:vAlign w:val="top"/>
            <w:tcMar>
              <w:top w:w="70" w:type="dxa"/>
              <w:start w:w="90" w:type="dxa"/>
              <w:bottom w:w="70" w:type="dxa"/>
              <w:end w:w="90" w:type="dxa"/>
            </w:tcMar>
          </w:tcPr>
          <w:p>
            <w:pPr>
              <w:spacing w:after="0"/>
            </w:pPr>
            <w:r>
              <w:rPr>
                <w:rFonts w:ascii="Arial" w:hAnsi="Arial"/>
                <w:sz w:val="18"/>
              </w:rPr>
              <w:t>Japanese B2B enterprise software + implementation / integration services</w:t>
            </w:r>
          </w:p>
        </w:tc>
      </w:tr>
      <w:tr>
        <w:tc>
          <w:tcPr>
            <w:tcW w:type="dxa" w:w="2880"/>
            <w:vAlign w:val="top"/>
            <w:tcMar>
              <w:top w:w="70" w:type="dxa"/>
              <w:start w:w="90" w:type="dxa"/>
              <w:bottom w:w="70" w:type="dxa"/>
              <w:end w:w="90" w:type="dxa"/>
            </w:tcMar>
            <w:shd w:fill="F6F8FA"/>
          </w:tcPr>
          <w:p>
            <w:pPr>
              <w:spacing w:after="0"/>
            </w:pPr>
            <w:r>
              <w:rPr>
                <w:rFonts w:ascii="Arial" w:hAnsi="Arial"/>
                <w:sz w:val="18"/>
              </w:rPr>
              <w:t>Narrative scale</w:t>
            </w:r>
          </w:p>
        </w:tc>
        <w:tc>
          <w:tcPr>
            <w:tcW w:type="dxa" w:w="7056"/>
            <w:vAlign w:val="top"/>
            <w:tcMar>
              <w:top w:w="70" w:type="dxa"/>
              <w:start w:w="90" w:type="dxa"/>
              <w:bottom w:w="70" w:type="dxa"/>
              <w:end w:w="90" w:type="dxa"/>
            </w:tcMar>
            <w:shd w:fill="F6F8FA"/>
          </w:tcPr>
          <w:p>
            <w:pPr>
              <w:spacing w:after="0"/>
            </w:pPr>
            <w:r>
              <w:rPr>
                <w:rFonts w:ascii="Arial" w:hAnsi="Arial"/>
                <w:sz w:val="18"/>
              </w:rPr>
              <w:t>3,000 employees; 117 teams; ~150 active projects</w:t>
            </w:r>
          </w:p>
        </w:tc>
      </w:tr>
      <w:tr>
        <w:tc>
          <w:tcPr>
            <w:tcW w:type="dxa" w:w="2880"/>
            <w:vAlign w:val="top"/>
            <w:tcMar>
              <w:top w:w="70" w:type="dxa"/>
              <w:start w:w="90" w:type="dxa"/>
              <w:bottom w:w="70" w:type="dxa"/>
              <w:end w:w="90" w:type="dxa"/>
            </w:tcMar>
          </w:tcPr>
          <w:p>
            <w:pPr>
              <w:spacing w:after="0"/>
            </w:pPr>
            <w:r>
              <w:rPr>
                <w:rFonts w:ascii="Arial" w:hAnsi="Arial"/>
                <w:sz w:val="18"/>
              </w:rPr>
              <w:t>Operational scale</w:t>
            </w:r>
          </w:p>
        </w:tc>
        <w:tc>
          <w:tcPr>
            <w:tcW w:type="dxa" w:w="7056"/>
            <w:vAlign w:val="top"/>
            <w:tcMar>
              <w:top w:w="70" w:type="dxa"/>
              <w:start w:w="90" w:type="dxa"/>
              <w:bottom w:w="70" w:type="dxa"/>
              <w:end w:w="90" w:type="dxa"/>
            </w:tcMar>
          </w:tcPr>
          <w:p>
            <w:pPr>
              <w:spacing w:after="0"/>
            </w:pPr>
            <w:r>
              <w:rPr>
                <w:rFonts w:ascii="Arial" w:hAnsi="Arial"/>
                <w:sz w:val="18"/>
              </w:rPr>
              <w:t>Target ~8,000 active tasks/commitments; hundreds of cross-team dependencies</w:t>
            </w:r>
          </w:p>
        </w:tc>
      </w:tr>
      <w:tr>
        <w:tc>
          <w:tcPr>
            <w:tcW w:type="dxa" w:w="2880"/>
            <w:vAlign w:val="top"/>
            <w:tcMar>
              <w:top w:w="70" w:type="dxa"/>
              <w:start w:w="90" w:type="dxa"/>
              <w:bottom w:w="70" w:type="dxa"/>
              <w:end w:w="90" w:type="dxa"/>
            </w:tcMar>
            <w:shd w:fill="F6F8FA"/>
          </w:tcPr>
          <w:p>
            <w:pPr>
              <w:spacing w:after="0"/>
            </w:pPr>
            <w:r>
              <w:rPr>
                <w:rFonts w:ascii="Arial" w:hAnsi="Arial"/>
                <w:sz w:val="18"/>
              </w:rPr>
              <w:t>Primary planning horizon</w:t>
            </w:r>
          </w:p>
        </w:tc>
        <w:tc>
          <w:tcPr>
            <w:tcW w:type="dxa" w:w="7056"/>
            <w:vAlign w:val="top"/>
            <w:tcMar>
              <w:top w:w="70" w:type="dxa"/>
              <w:start w:w="90" w:type="dxa"/>
              <w:bottom w:w="70" w:type="dxa"/>
              <w:end w:w="90" w:type="dxa"/>
            </w:tcMar>
            <w:shd w:fill="F6F8FA"/>
          </w:tcPr>
          <w:p>
            <w:pPr>
              <w:spacing w:after="0"/>
            </w:pPr>
            <w:r>
              <w:rPr>
                <w:rFonts w:ascii="Arial" w:hAnsi="Arial"/>
                <w:sz w:val="18"/>
              </w:rPr>
              <w:t>5 working days for demo/benchmark replans</w:t>
            </w:r>
          </w:p>
        </w:tc>
      </w:tr>
      <w:tr>
        <w:tc>
          <w:tcPr>
            <w:tcW w:type="dxa" w:w="2880"/>
            <w:vAlign w:val="top"/>
            <w:tcMar>
              <w:top w:w="70" w:type="dxa"/>
              <w:start w:w="90" w:type="dxa"/>
              <w:bottom w:w="70" w:type="dxa"/>
              <w:end w:w="90" w:type="dxa"/>
            </w:tcMar>
          </w:tcPr>
          <w:p>
            <w:pPr>
              <w:spacing w:after="0"/>
            </w:pPr>
            <w:r>
              <w:rPr>
                <w:rFonts w:ascii="Arial" w:hAnsi="Arial"/>
                <w:sz w:val="18"/>
              </w:rPr>
              <w:t>Core demo theme</w:t>
            </w:r>
          </w:p>
        </w:tc>
        <w:tc>
          <w:tcPr>
            <w:tcW w:type="dxa" w:w="7056"/>
            <w:vAlign w:val="top"/>
            <w:tcMar>
              <w:top w:w="70" w:type="dxa"/>
              <w:start w:w="90" w:type="dxa"/>
              <w:bottom w:w="70" w:type="dxa"/>
              <w:end w:w="90" w:type="dxa"/>
            </w:tcMar>
          </w:tcPr>
          <w:p>
            <w:r>
              <w:t>Two connected changes: customer deadline pull-in, then a higher-priority production incident that competes for shared specialists; demonstrate priority policy, minimal verified repair, direct coordination and privacy-safe cross-team capacity.</w:t>
            </w:r>
          </w:p>
        </w:tc>
      </w:tr>
      <w:tr>
        <w:tc>
          <w:tcPr>
            <w:tcW w:type="dxa" w:w="2880"/>
            <w:vAlign w:val="top"/>
            <w:tcMar>
              <w:top w:w="70" w:type="dxa"/>
              <w:start w:w="90" w:type="dxa"/>
              <w:bottom w:w="70" w:type="dxa"/>
              <w:end w:w="90" w:type="dxa"/>
            </w:tcMar>
            <w:shd w:fill="F6F8FA"/>
          </w:tcPr>
          <w:p>
            <w:pPr>
              <w:spacing w:after="0"/>
            </w:pPr>
            <w:r>
              <w:rPr>
                <w:rFonts w:ascii="Arial" w:hAnsi="Arial"/>
                <w:sz w:val="18"/>
              </w:rPr>
              <w:t>Data policy</w:t>
            </w:r>
          </w:p>
        </w:tc>
        <w:tc>
          <w:tcPr>
            <w:tcW w:type="dxa" w:w="7056"/>
            <w:vAlign w:val="top"/>
            <w:tcMar>
              <w:top w:w="70" w:type="dxa"/>
              <w:start w:w="90" w:type="dxa"/>
              <w:bottom w:w="70" w:type="dxa"/>
              <w:end w:w="90" w:type="dxa"/>
            </w:tcMar>
            <w:shd w:fill="F6F8FA"/>
          </w:tcPr>
          <w:p>
            <w:pPr>
              <w:spacing w:after="0"/>
            </w:pPr>
            <w:r>
              <w:rPr>
                <w:rFonts w:ascii="Arial" w:hAnsi="Arial"/>
                <w:sz w:val="18"/>
              </w:rPr>
              <w:t>All people, customers, tasks, conversations and documents are synthetic</w:t>
            </w:r>
          </w:p>
        </w:tc>
      </w:tr>
    </w:tbl>
    <w:p>
      <w:pPr>
        <w:spacing w:after="0"/>
      </w:pPr>
    </w:p>
    <w:p>
      <w:pPr>
        <w:pStyle w:val="Heading1"/>
      </w:pPr>
      <w:r>
        <w:t>Purpose</w:t>
      </w:r>
    </w:p>
    <w:p>
      <w:r>
        <w:t>This document is context for the Codex agents that will write/build the simulation. It defines the synthetic company, data model, background workflow templates, event library, two-change main demo, naive comparison baseline and benchmark outputs. It is intentionally specific enough to generate deterministic fixtures and measurable results without requiring the agents to infer the product story from scratch.</w:t>
      </w:r>
    </w:p>
    <w:p>
      <w:pPr>
        <w:pStyle w:val="SmallNote"/>
      </w:pPr>
      <w:r>
        <w:t>Main-demo scope: exactly two connected changes. Workflow templates and the broader change/event library remain in this context document because they are useful for generating coherent background state and automated benchmark cases; they are not separate presentation requirements.</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sz w:val="20"/>
              </w:rPr>
              <w:t>Design principle</w:t>
              <w:br/>
            </w:r>
            <w:r>
              <w:rPr>
                <w:sz w:val="18"/>
              </w:rPr>
              <w:t>Large company state; small affected planning neighborhood. The demo should prove that the system can reason over a realistic organization without sending the entire company into an LLM or reoptimizing every commitment after every change.</w:t>
            </w:r>
          </w:p>
        </w:tc>
      </w:tr>
    </w:tbl>
    <w:p>
      <w:pPr>
        <w:spacing w:after="0"/>
      </w:pPr>
    </w:p>
    <w:p>
      <w:r>
        <w:br w:type="page"/>
      </w:r>
    </w:p>
    <w:p>
      <w:pPr>
        <w:pStyle w:val="Heading1"/>
      </w:pPr>
      <w:r>
        <w:t>1. Locked Company Profile</w:t>
      </w:r>
    </w:p>
    <w:p>
      <w:r>
        <w:t>Working simulation label: SoraWorks Japan (synthetic placeholder; rename if desired). The company sells a cloud workflow/operations platform to medium and large enterprises and also provides implementation, integration, migration, training and ongoing support services.</w:t>
      </w:r>
    </w:p>
    <w:p>
      <w:pPr>
        <w:pStyle w:val="Heading2"/>
      </w:pPr>
      <w:r>
        <w:t>1.1 Services provided</w:t>
      </w: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Mar>
              <w:top w:w="70" w:type="dxa"/>
              <w:start w:w="90" w:type="dxa"/>
              <w:bottom w:w="70" w:type="dxa"/>
              <w:end w:w="90" w:type="dxa"/>
            </w:tcMar>
          </w:tcPr>
          <w:p>
            <w:pPr>
              <w:jc w:val="left"/>
            </w:pPr>
            <w:r>
              <w:rPr>
                <w:rFonts w:ascii="Arial" w:hAnsi="Arial"/>
                <w:b/>
                <w:color w:val="FFFFFF"/>
                <w:sz w:val="17"/>
              </w:rPr>
              <w:t>Service line</w:t>
            </w:r>
          </w:p>
        </w:tc>
        <w:tc>
          <w:tcPr>
            <w:tcW w:type="dxa" w:w="7056"/>
            <w:shd w:fill="17365D"/>
            <w:vAlign w:val="center"/>
            <w:tcMar>
              <w:top w:w="70" w:type="dxa"/>
              <w:start w:w="90" w:type="dxa"/>
              <w:bottom w:w="70" w:type="dxa"/>
              <w:end w:w="90" w:type="dxa"/>
            </w:tcMar>
          </w:tcPr>
          <w:p>
            <w:pPr>
              <w:jc w:val="left"/>
            </w:pPr>
            <w:r>
              <w:rPr>
                <w:rFonts w:ascii="Arial" w:hAnsi="Arial"/>
                <w:b/>
                <w:color w:val="FFFFFF"/>
                <w:sz w:val="17"/>
              </w:rPr>
              <w:t>Typical work generated</w:t>
            </w:r>
          </w:p>
        </w:tc>
      </w:tr>
      <w:tr>
        <w:tc>
          <w:tcPr>
            <w:tcW w:type="dxa" w:w="2880"/>
            <w:vAlign w:val="top"/>
            <w:tcMar>
              <w:top w:w="70" w:type="dxa"/>
              <w:start w:w="90" w:type="dxa"/>
              <w:bottom w:w="70" w:type="dxa"/>
              <w:end w:w="90" w:type="dxa"/>
            </w:tcMar>
          </w:tcPr>
          <w:p>
            <w:pPr>
              <w:spacing w:after="0"/>
            </w:pPr>
            <w:r>
              <w:rPr>
                <w:rFonts w:ascii="Arial" w:hAnsi="Arial"/>
                <w:sz w:val="17"/>
              </w:rPr>
              <w:t>Workflow / approvals platform</w:t>
            </w:r>
          </w:p>
        </w:tc>
        <w:tc>
          <w:tcPr>
            <w:tcW w:type="dxa" w:w="7056"/>
            <w:vAlign w:val="top"/>
            <w:tcMar>
              <w:top w:w="70" w:type="dxa"/>
              <w:start w:w="90" w:type="dxa"/>
              <w:bottom w:w="70" w:type="dxa"/>
              <w:end w:w="90" w:type="dxa"/>
            </w:tcMar>
          </w:tcPr>
          <w:p>
            <w:pPr>
              <w:spacing w:after="0"/>
            </w:pPr>
            <w:r>
              <w:rPr>
                <w:rFonts w:ascii="Arial" w:hAnsi="Arial"/>
                <w:sz w:val="17"/>
              </w:rPr>
              <w:t>Build forms, approval flows, permissions, audit trails and business rules.</w:t>
            </w:r>
          </w:p>
        </w:tc>
      </w:tr>
      <w:tr>
        <w:tc>
          <w:tcPr>
            <w:tcW w:type="dxa" w:w="2880"/>
            <w:vAlign w:val="top"/>
            <w:tcMar>
              <w:top w:w="70" w:type="dxa"/>
              <w:start w:w="90" w:type="dxa"/>
              <w:bottom w:w="70" w:type="dxa"/>
              <w:end w:w="90" w:type="dxa"/>
            </w:tcMar>
            <w:shd w:fill="F6F8FA"/>
          </w:tcPr>
          <w:p>
            <w:pPr>
              <w:spacing w:after="0"/>
            </w:pPr>
            <w:r>
              <w:rPr>
                <w:rFonts w:ascii="Arial" w:hAnsi="Arial"/>
                <w:sz w:val="17"/>
              </w:rPr>
              <w:t>Reporting &amp; analytics</w:t>
            </w:r>
          </w:p>
        </w:tc>
        <w:tc>
          <w:tcPr>
            <w:tcW w:type="dxa" w:w="7056"/>
            <w:vAlign w:val="top"/>
            <w:tcMar>
              <w:top w:w="70" w:type="dxa"/>
              <w:start w:w="90" w:type="dxa"/>
              <w:bottom w:w="70" w:type="dxa"/>
              <w:end w:w="90" w:type="dxa"/>
            </w:tcMar>
            <w:shd w:fill="F6F8FA"/>
          </w:tcPr>
          <w:p>
            <w:pPr>
              <w:spacing w:after="0"/>
            </w:pPr>
            <w:r>
              <w:rPr>
                <w:rFonts w:ascii="Arial" w:hAnsi="Arial"/>
                <w:sz w:val="17"/>
              </w:rPr>
              <w:t>Backend/data pipelines, dashboard UI, reporting APIs, QA and documentation.</w:t>
            </w:r>
          </w:p>
        </w:tc>
      </w:tr>
      <w:tr>
        <w:tc>
          <w:tcPr>
            <w:tcW w:type="dxa" w:w="2880"/>
            <w:vAlign w:val="top"/>
            <w:tcMar>
              <w:top w:w="70" w:type="dxa"/>
              <w:start w:w="90" w:type="dxa"/>
              <w:bottom w:w="70" w:type="dxa"/>
              <w:end w:w="90" w:type="dxa"/>
            </w:tcMar>
          </w:tcPr>
          <w:p>
            <w:pPr>
              <w:spacing w:after="0"/>
            </w:pPr>
            <w:r>
              <w:rPr>
                <w:rFonts w:ascii="Arial" w:hAnsi="Arial"/>
                <w:sz w:val="17"/>
              </w:rPr>
              <w:t>Enterprise integrations</w:t>
            </w:r>
          </w:p>
        </w:tc>
        <w:tc>
          <w:tcPr>
            <w:tcW w:type="dxa" w:w="7056"/>
            <w:vAlign w:val="top"/>
            <w:tcMar>
              <w:top w:w="70" w:type="dxa"/>
              <w:start w:w="90" w:type="dxa"/>
              <w:bottom w:w="70" w:type="dxa"/>
              <w:end w:w="90" w:type="dxa"/>
            </w:tcMar>
          </w:tcPr>
          <w:p>
            <w:pPr>
              <w:spacing w:after="0"/>
            </w:pPr>
            <w:r>
              <w:rPr>
                <w:rFonts w:ascii="Arial" w:hAnsi="Arial"/>
                <w:sz w:val="17"/>
              </w:rPr>
              <w:t>Connect CRM, ERP, HRIS and customer APIs; identity/SSO integrations.</w:t>
            </w:r>
          </w:p>
        </w:tc>
      </w:tr>
      <w:tr>
        <w:tc>
          <w:tcPr>
            <w:tcW w:type="dxa" w:w="2880"/>
            <w:vAlign w:val="top"/>
            <w:tcMar>
              <w:top w:w="70" w:type="dxa"/>
              <w:start w:w="90" w:type="dxa"/>
              <w:bottom w:w="70" w:type="dxa"/>
              <w:end w:w="90" w:type="dxa"/>
            </w:tcMar>
            <w:shd w:fill="F6F8FA"/>
          </w:tcPr>
          <w:p>
            <w:pPr>
              <w:spacing w:after="0"/>
            </w:pPr>
            <w:r>
              <w:rPr>
                <w:rFonts w:ascii="Arial" w:hAnsi="Arial"/>
                <w:sz w:val="17"/>
              </w:rPr>
              <w:t>Data migration</w:t>
            </w:r>
          </w:p>
        </w:tc>
        <w:tc>
          <w:tcPr>
            <w:tcW w:type="dxa" w:w="7056"/>
            <w:vAlign w:val="top"/>
            <w:tcMar>
              <w:top w:w="70" w:type="dxa"/>
              <w:start w:w="90" w:type="dxa"/>
              <w:bottom w:w="70" w:type="dxa"/>
              <w:end w:w="90" w:type="dxa"/>
            </w:tcMar>
            <w:shd w:fill="F6F8FA"/>
          </w:tcPr>
          <w:p>
            <w:pPr>
              <w:spacing w:after="0"/>
            </w:pPr>
            <w:r>
              <w:rPr>
                <w:rFonts w:ascii="Arial" w:hAnsi="Arial"/>
                <w:sz w:val="17"/>
              </w:rPr>
              <w:t>Field mapping, import scripts, test migrations, reconciliation and customer sign-off.</w:t>
            </w:r>
          </w:p>
        </w:tc>
      </w:tr>
      <w:tr>
        <w:tc>
          <w:tcPr>
            <w:tcW w:type="dxa" w:w="2880"/>
            <w:vAlign w:val="top"/>
            <w:tcMar>
              <w:top w:w="70" w:type="dxa"/>
              <w:start w:w="90" w:type="dxa"/>
              <w:bottom w:w="70" w:type="dxa"/>
              <w:end w:w="90" w:type="dxa"/>
            </w:tcMar>
          </w:tcPr>
          <w:p>
            <w:pPr>
              <w:spacing w:after="0"/>
            </w:pPr>
            <w:r>
              <w:rPr>
                <w:rFonts w:ascii="Arial" w:hAnsi="Arial"/>
                <w:sz w:val="17"/>
              </w:rPr>
              <w:t>Implementation services</w:t>
            </w:r>
          </w:p>
        </w:tc>
        <w:tc>
          <w:tcPr>
            <w:tcW w:type="dxa" w:w="7056"/>
            <w:vAlign w:val="top"/>
            <w:tcMar>
              <w:top w:w="70" w:type="dxa"/>
              <w:start w:w="90" w:type="dxa"/>
              <w:bottom w:w="70" w:type="dxa"/>
              <w:end w:w="90" w:type="dxa"/>
            </w:tcMar>
          </w:tcPr>
          <w:p>
            <w:pPr>
              <w:spacing w:after="0"/>
            </w:pPr>
            <w:r>
              <w:rPr>
                <w:rFonts w:ascii="Arial" w:hAnsi="Arial"/>
                <w:sz w:val="17"/>
              </w:rPr>
              <w:t>Requirements, configuration, integration, UAT, rollout and customer coordination.</w:t>
            </w:r>
          </w:p>
        </w:tc>
      </w:tr>
      <w:tr>
        <w:tc>
          <w:tcPr>
            <w:tcW w:type="dxa" w:w="2880"/>
            <w:vAlign w:val="top"/>
            <w:tcMar>
              <w:top w:w="70" w:type="dxa"/>
              <w:start w:w="90" w:type="dxa"/>
              <w:bottom w:w="70" w:type="dxa"/>
              <w:end w:w="90" w:type="dxa"/>
            </w:tcMar>
            <w:shd w:fill="F6F8FA"/>
          </w:tcPr>
          <w:p>
            <w:pPr>
              <w:spacing w:after="0"/>
            </w:pPr>
            <w:r>
              <w:rPr>
                <w:rFonts w:ascii="Arial" w:hAnsi="Arial"/>
                <w:sz w:val="17"/>
              </w:rPr>
              <w:t>Security / compliance support</w:t>
            </w:r>
          </w:p>
        </w:tc>
        <w:tc>
          <w:tcPr>
            <w:tcW w:type="dxa" w:w="7056"/>
            <w:vAlign w:val="top"/>
            <w:tcMar>
              <w:top w:w="70" w:type="dxa"/>
              <w:start w:w="90" w:type="dxa"/>
              <w:bottom w:w="70" w:type="dxa"/>
              <w:end w:w="90" w:type="dxa"/>
            </w:tcMar>
            <w:shd w:fill="F6F8FA"/>
          </w:tcPr>
          <w:p>
            <w:pPr>
              <w:spacing w:after="0"/>
            </w:pPr>
            <w:r>
              <w:rPr>
                <w:rFonts w:ascii="Arial" w:hAnsi="Arial"/>
                <w:sz w:val="17"/>
              </w:rPr>
              <w:t>Security questionnaires, architecture review, access review, compliance evidence.</w:t>
            </w:r>
          </w:p>
        </w:tc>
      </w:tr>
      <w:tr>
        <w:tc>
          <w:tcPr>
            <w:tcW w:type="dxa" w:w="2880"/>
            <w:vAlign w:val="top"/>
            <w:tcMar>
              <w:top w:w="70" w:type="dxa"/>
              <w:start w:w="90" w:type="dxa"/>
              <w:bottom w:w="70" w:type="dxa"/>
              <w:end w:w="90" w:type="dxa"/>
            </w:tcMar>
          </w:tcPr>
          <w:p>
            <w:pPr>
              <w:spacing w:after="0"/>
            </w:pPr>
            <w:r>
              <w:rPr>
                <w:rFonts w:ascii="Arial" w:hAnsi="Arial"/>
                <w:sz w:val="17"/>
              </w:rPr>
              <w:t>Training / enablement</w:t>
            </w:r>
          </w:p>
        </w:tc>
        <w:tc>
          <w:tcPr>
            <w:tcW w:type="dxa" w:w="7056"/>
            <w:vAlign w:val="top"/>
            <w:tcMar>
              <w:top w:w="70" w:type="dxa"/>
              <w:start w:w="90" w:type="dxa"/>
              <w:bottom w:w="70" w:type="dxa"/>
              <w:end w:w="90" w:type="dxa"/>
            </w:tcMar>
          </w:tcPr>
          <w:p>
            <w:pPr>
              <w:spacing w:after="0"/>
            </w:pPr>
            <w:r>
              <w:rPr>
                <w:rFonts w:ascii="Arial" w:hAnsi="Arial"/>
                <w:sz w:val="17"/>
              </w:rPr>
              <w:t>Admin training, end-user documentation, technical orientation and rollout support.</w:t>
            </w:r>
          </w:p>
        </w:tc>
      </w:tr>
      <w:tr>
        <w:tc>
          <w:tcPr>
            <w:tcW w:type="dxa" w:w="2880"/>
            <w:vAlign w:val="top"/>
            <w:tcMar>
              <w:top w:w="70" w:type="dxa"/>
              <w:start w:w="90" w:type="dxa"/>
              <w:bottom w:w="70" w:type="dxa"/>
              <w:end w:w="90" w:type="dxa"/>
            </w:tcMar>
            <w:shd w:fill="F6F8FA"/>
          </w:tcPr>
          <w:p>
            <w:pPr>
              <w:spacing w:after="0"/>
            </w:pPr>
            <w:r>
              <w:rPr>
                <w:rFonts w:ascii="Arial" w:hAnsi="Arial"/>
                <w:sz w:val="17"/>
              </w:rPr>
              <w:t>Managed support</w:t>
            </w:r>
          </w:p>
        </w:tc>
        <w:tc>
          <w:tcPr>
            <w:tcW w:type="dxa" w:w="7056"/>
            <w:vAlign w:val="top"/>
            <w:tcMar>
              <w:top w:w="70" w:type="dxa"/>
              <w:start w:w="90" w:type="dxa"/>
              <w:bottom w:w="70" w:type="dxa"/>
              <w:end w:w="90" w:type="dxa"/>
            </w:tcMar>
            <w:shd w:fill="F6F8FA"/>
          </w:tcPr>
          <w:p>
            <w:pPr>
              <w:spacing w:after="0"/>
            </w:pPr>
            <w:r>
              <w:rPr>
                <w:rFonts w:ascii="Arial" w:hAnsi="Arial"/>
                <w:sz w:val="17"/>
              </w:rPr>
              <w:t>Incidents, bug fixes, escalations, configuration changes and release coordination.</w:t>
            </w:r>
          </w:p>
        </w:tc>
      </w:tr>
    </w:tbl>
    <w:p>
      <w:pPr>
        <w:spacing w:after="0"/>
      </w:pPr>
    </w:p>
    <w:p>
      <w:pPr>
        <w:pStyle w:val="Heading2"/>
      </w:pPr>
      <w:r>
        <w:t>1.2 Why this company type is useful for the demo</w:t>
      </w:r>
    </w:p>
    <w:p>
      <w:pPr>
        <w:pStyle w:val="ListBullet"/>
        <w:spacing w:after="40"/>
      </w:pPr>
      <w:r>
        <w:t>Long-lived product teams coexist with deadline-driven customer projects.</w:t>
      </w:r>
    </w:p>
    <w:p>
      <w:pPr>
        <w:pStyle w:val="ListBullet"/>
        <w:spacing w:after="40"/>
      </w:pPr>
      <w:r>
        <w:t>Specialists such as Security, Data Platform, SRE, Legal and QA are shared across many teams.</w:t>
      </w:r>
    </w:p>
    <w:p>
      <w:pPr>
        <w:pStyle w:val="ListBullet"/>
        <w:spacing w:after="40"/>
      </w:pPr>
      <w:r>
        <w:t>Customer and HR contexts can be private even when the same employee supports multiple teams.</w:t>
      </w:r>
    </w:p>
    <w:p>
      <w:pPr>
        <w:pStyle w:val="ListBullet"/>
        <w:spacing w:after="40"/>
      </w:pPr>
      <w:r>
        <w:t>Software dependencies create formal ordering, reviewer and qualification constraints.</w:t>
      </w:r>
    </w:p>
    <w:p>
      <w:pPr>
        <w:pStyle w:val="ListBullet"/>
        <w:spacing w:after="40"/>
      </w:pPr>
      <w:r>
        <w:t>Customer deadlines and onboarding events create natural priority and schedule changes.</w:t>
      </w:r>
    </w:p>
    <w:p>
      <w:pPr>
        <w:pStyle w:val="ListBullet"/>
        <w:spacing w:after="40"/>
      </w:pPr>
      <w:r>
        <w:t>The environment supports both routine feasible repairs and genuinely infeasible requests.</w:t>
      </w:r>
    </w:p>
    <w:p>
      <w:pPr>
        <w:pStyle w:val="Heading1"/>
      </w:pPr>
      <w:r>
        <w:t>2. Organization and Scale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7365D"/>
            <w:vAlign w:val="center"/>
            <w:tcMar>
              <w:top w:w="70" w:type="dxa"/>
              <w:start w:w="90" w:type="dxa"/>
              <w:bottom w:w="70" w:type="dxa"/>
              <w:end w:w="90" w:type="dxa"/>
            </w:tcMar>
          </w:tcPr>
          <w:p>
            <w:pPr>
              <w:jc w:val="left"/>
            </w:pPr>
            <w:r>
              <w:rPr>
                <w:rFonts w:ascii="Arial" w:hAnsi="Arial"/>
                <w:b/>
                <w:color w:val="FFFFFF"/>
                <w:sz w:val="16"/>
              </w:rPr>
              <w:t>Function</w:t>
            </w:r>
          </w:p>
        </w:tc>
        <w:tc>
          <w:tcPr>
            <w:tcW w:type="dxa" w:w="1008"/>
            <w:shd w:fill="17365D"/>
            <w:vAlign w:val="center"/>
            <w:tcMar>
              <w:top w:w="70" w:type="dxa"/>
              <w:start w:w="90" w:type="dxa"/>
              <w:bottom w:w="70" w:type="dxa"/>
              <w:end w:w="90" w:type="dxa"/>
            </w:tcMar>
          </w:tcPr>
          <w:p>
            <w:pPr>
              <w:jc w:val="left"/>
            </w:pPr>
            <w:r>
              <w:rPr>
                <w:rFonts w:ascii="Arial" w:hAnsi="Arial"/>
                <w:b/>
                <w:color w:val="FFFFFF"/>
                <w:sz w:val="16"/>
              </w:rPr>
              <w:t>Employees</w:t>
            </w:r>
          </w:p>
        </w:tc>
        <w:tc>
          <w:tcPr>
            <w:tcW w:type="dxa" w:w="864"/>
            <w:shd w:fill="17365D"/>
            <w:vAlign w:val="center"/>
            <w:tcMar>
              <w:top w:w="70" w:type="dxa"/>
              <w:start w:w="90" w:type="dxa"/>
              <w:bottom w:w="70" w:type="dxa"/>
              <w:end w:w="90" w:type="dxa"/>
            </w:tcMar>
          </w:tcPr>
          <w:p>
            <w:pPr>
              <w:jc w:val="left"/>
            </w:pPr>
            <w:r>
              <w:rPr>
                <w:rFonts w:ascii="Arial" w:hAnsi="Arial"/>
                <w:b/>
                <w:color w:val="FFFFFF"/>
                <w:sz w:val="16"/>
              </w:rPr>
              <w:t>Teams</w:t>
            </w:r>
          </w:p>
        </w:tc>
        <w:tc>
          <w:tcPr>
            <w:tcW w:type="dxa" w:w="5616"/>
            <w:shd w:fill="17365D"/>
            <w:vAlign w:val="center"/>
            <w:tcMar>
              <w:top w:w="70" w:type="dxa"/>
              <w:start w:w="90" w:type="dxa"/>
              <w:bottom w:w="70" w:type="dxa"/>
              <w:end w:w="90" w:type="dxa"/>
            </w:tcMar>
          </w:tcPr>
          <w:p>
            <w:pPr>
              <w:jc w:val="left"/>
            </w:pPr>
            <w:r>
              <w:rPr>
                <w:rFonts w:ascii="Arial" w:hAnsi="Arial"/>
                <w:b/>
                <w:color w:val="FFFFFF"/>
                <w:sz w:val="16"/>
              </w:rPr>
              <w:t>Representative subteams</w:t>
            </w:r>
          </w:p>
        </w:tc>
      </w:tr>
      <w:tr>
        <w:tc>
          <w:tcPr>
            <w:tcW w:type="dxa" w:w="2448"/>
            <w:vAlign w:val="top"/>
            <w:tcMar>
              <w:top w:w="70" w:type="dxa"/>
              <w:start w:w="90" w:type="dxa"/>
              <w:bottom w:w="70" w:type="dxa"/>
              <w:end w:w="90" w:type="dxa"/>
            </w:tcMar>
          </w:tcPr>
          <w:p>
            <w:pPr>
              <w:spacing w:after="0"/>
            </w:pPr>
            <w:r>
              <w:rPr>
                <w:rFonts w:ascii="Arial" w:hAnsi="Arial"/>
                <w:sz w:val="16"/>
              </w:rPr>
              <w:t>Engineering</w:t>
            </w:r>
          </w:p>
        </w:tc>
        <w:tc>
          <w:tcPr>
            <w:tcW w:type="dxa" w:w="1008"/>
            <w:vAlign w:val="top"/>
            <w:tcMar>
              <w:top w:w="70" w:type="dxa"/>
              <w:start w:w="90" w:type="dxa"/>
              <w:bottom w:w="70" w:type="dxa"/>
              <w:end w:w="90" w:type="dxa"/>
            </w:tcMar>
          </w:tcPr>
          <w:p>
            <w:pPr>
              <w:spacing w:after="0"/>
            </w:pPr>
            <w:r>
              <w:rPr>
                <w:rFonts w:ascii="Arial" w:hAnsi="Arial"/>
                <w:sz w:val="16"/>
              </w:rPr>
              <w:t>900</w:t>
            </w:r>
          </w:p>
        </w:tc>
        <w:tc>
          <w:tcPr>
            <w:tcW w:type="dxa" w:w="864"/>
            <w:vAlign w:val="top"/>
            <w:tcMar>
              <w:top w:w="70" w:type="dxa"/>
              <w:start w:w="90" w:type="dxa"/>
              <w:bottom w:w="70" w:type="dxa"/>
              <w:end w:w="90" w:type="dxa"/>
            </w:tcMar>
          </w:tcPr>
          <w:p>
            <w:pPr>
              <w:spacing w:after="0"/>
            </w:pPr>
            <w:r>
              <w:rPr>
                <w:rFonts w:ascii="Arial" w:hAnsi="Arial"/>
                <w:sz w:val="16"/>
              </w:rPr>
              <w:t>35</w:t>
            </w:r>
          </w:p>
        </w:tc>
        <w:tc>
          <w:tcPr>
            <w:tcW w:type="dxa" w:w="5616"/>
            <w:vAlign w:val="top"/>
            <w:tcMar>
              <w:top w:w="70" w:type="dxa"/>
              <w:start w:w="90" w:type="dxa"/>
              <w:bottom w:w="70" w:type="dxa"/>
              <w:end w:w="90" w:type="dxa"/>
            </w:tcMar>
          </w:tcPr>
          <w:p>
            <w:pPr>
              <w:spacing w:after="0"/>
            </w:pPr>
            <w:r>
              <w:rPr>
                <w:rFonts w:ascii="Arial" w:hAnsi="Arial"/>
                <w:sz w:val="16"/>
              </w:rPr>
              <w:t>Core Platform; Workflow Engine; Reporting; Integrations; Identity &amp; Access; Mobile; QA/Release; SRE</w:t>
            </w:r>
          </w:p>
        </w:tc>
      </w:tr>
      <w:tr>
        <w:tc>
          <w:tcPr>
            <w:tcW w:type="dxa" w:w="2448"/>
            <w:vAlign w:val="top"/>
            <w:tcMar>
              <w:top w:w="70" w:type="dxa"/>
              <w:start w:w="90" w:type="dxa"/>
              <w:bottom w:w="70" w:type="dxa"/>
              <w:end w:w="90" w:type="dxa"/>
            </w:tcMar>
            <w:shd w:fill="F6F8FA"/>
          </w:tcPr>
          <w:p>
            <w:pPr>
              <w:spacing w:after="0"/>
            </w:pPr>
            <w:r>
              <w:rPr>
                <w:rFonts w:ascii="Arial" w:hAnsi="Arial"/>
                <w:sz w:val="16"/>
              </w:rPr>
              <w:t>Product / Planning</w:t>
            </w:r>
          </w:p>
        </w:tc>
        <w:tc>
          <w:tcPr>
            <w:tcW w:type="dxa" w:w="1008"/>
            <w:vAlign w:val="top"/>
            <w:tcMar>
              <w:top w:w="70" w:type="dxa"/>
              <w:start w:w="90" w:type="dxa"/>
              <w:bottom w:w="70" w:type="dxa"/>
              <w:end w:w="90" w:type="dxa"/>
            </w:tcMar>
            <w:shd w:fill="F6F8FA"/>
          </w:tcPr>
          <w:p>
            <w:pPr>
              <w:spacing w:after="0"/>
            </w:pPr>
            <w:r>
              <w:rPr>
                <w:rFonts w:ascii="Arial" w:hAnsi="Arial"/>
                <w:sz w:val="16"/>
              </w:rPr>
              <w:t>350</w:t>
            </w:r>
          </w:p>
        </w:tc>
        <w:tc>
          <w:tcPr>
            <w:tcW w:type="dxa" w:w="864"/>
            <w:vAlign w:val="top"/>
            <w:tcMar>
              <w:top w:w="70" w:type="dxa"/>
              <w:start w:w="90" w:type="dxa"/>
              <w:bottom w:w="70" w:type="dxa"/>
              <w:end w:w="90" w:type="dxa"/>
            </w:tcMar>
            <w:shd w:fill="F6F8FA"/>
          </w:tcPr>
          <w:p>
            <w:pPr>
              <w:spacing w:after="0"/>
            </w:pPr>
            <w:r>
              <w:rPr>
                <w:rFonts w:ascii="Arial" w:hAnsi="Arial"/>
                <w:sz w:val="16"/>
              </w:rPr>
              <w:t>15</w:t>
            </w:r>
          </w:p>
        </w:tc>
        <w:tc>
          <w:tcPr>
            <w:tcW w:type="dxa" w:w="5616"/>
            <w:vAlign w:val="top"/>
            <w:tcMar>
              <w:top w:w="70" w:type="dxa"/>
              <w:start w:w="90" w:type="dxa"/>
              <w:bottom w:w="70" w:type="dxa"/>
              <w:end w:w="90" w:type="dxa"/>
            </w:tcMar>
            <w:shd w:fill="F6F8FA"/>
          </w:tcPr>
          <w:p>
            <w:pPr>
              <w:spacing w:after="0"/>
            </w:pPr>
            <w:r>
              <w:rPr>
                <w:rFonts w:ascii="Arial" w:hAnsi="Arial"/>
                <w:sz w:val="16"/>
              </w:rPr>
              <w:t>Product Management; Program Management; Business Analysis; Product Operations</w:t>
            </w:r>
          </w:p>
        </w:tc>
      </w:tr>
      <w:tr>
        <w:tc>
          <w:tcPr>
            <w:tcW w:type="dxa" w:w="2448"/>
            <w:vAlign w:val="top"/>
            <w:tcMar>
              <w:top w:w="70" w:type="dxa"/>
              <w:start w:w="90" w:type="dxa"/>
              <w:bottom w:w="70" w:type="dxa"/>
              <w:end w:w="90" w:type="dxa"/>
            </w:tcMar>
          </w:tcPr>
          <w:p>
            <w:pPr>
              <w:spacing w:after="0"/>
            </w:pPr>
            <w:r>
              <w:rPr>
                <w:rFonts w:ascii="Arial" w:hAnsi="Arial"/>
                <w:sz w:val="16"/>
              </w:rPr>
              <w:t>Design</w:t>
            </w:r>
          </w:p>
        </w:tc>
        <w:tc>
          <w:tcPr>
            <w:tcW w:type="dxa" w:w="1008"/>
            <w:vAlign w:val="top"/>
            <w:tcMar>
              <w:top w:w="70" w:type="dxa"/>
              <w:start w:w="90" w:type="dxa"/>
              <w:bottom w:w="70" w:type="dxa"/>
              <w:end w:w="90" w:type="dxa"/>
            </w:tcMar>
          </w:tcPr>
          <w:p>
            <w:pPr>
              <w:spacing w:after="0"/>
            </w:pPr>
            <w:r>
              <w:rPr>
                <w:rFonts w:ascii="Arial" w:hAnsi="Arial"/>
                <w:sz w:val="16"/>
              </w:rPr>
              <w:t>150</w:t>
            </w:r>
          </w:p>
        </w:tc>
        <w:tc>
          <w:tcPr>
            <w:tcW w:type="dxa" w:w="864"/>
            <w:vAlign w:val="top"/>
            <w:tcMar>
              <w:top w:w="70" w:type="dxa"/>
              <w:start w:w="90" w:type="dxa"/>
              <w:bottom w:w="70" w:type="dxa"/>
              <w:end w:w="90" w:type="dxa"/>
            </w:tcMar>
          </w:tcPr>
          <w:p>
            <w:pPr>
              <w:spacing w:after="0"/>
            </w:pPr>
            <w:r>
              <w:rPr>
                <w:rFonts w:ascii="Arial" w:hAnsi="Arial"/>
                <w:sz w:val="16"/>
              </w:rPr>
              <w:t>8</w:t>
            </w:r>
          </w:p>
        </w:tc>
        <w:tc>
          <w:tcPr>
            <w:tcW w:type="dxa" w:w="5616"/>
            <w:vAlign w:val="top"/>
            <w:tcMar>
              <w:top w:w="70" w:type="dxa"/>
              <w:start w:w="90" w:type="dxa"/>
              <w:bottom w:w="70" w:type="dxa"/>
              <w:end w:w="90" w:type="dxa"/>
            </w:tcMar>
          </w:tcPr>
          <w:p>
            <w:pPr>
              <w:spacing w:after="0"/>
            </w:pPr>
            <w:r>
              <w:rPr>
                <w:rFonts w:ascii="Arial" w:hAnsi="Arial"/>
                <w:sz w:val="16"/>
              </w:rPr>
              <w:t>Product Design; Research; Design Systems; Content Design</w:t>
            </w:r>
          </w:p>
        </w:tc>
      </w:tr>
      <w:tr>
        <w:tc>
          <w:tcPr>
            <w:tcW w:type="dxa" w:w="2448"/>
            <w:vAlign w:val="top"/>
            <w:tcMar>
              <w:top w:w="70" w:type="dxa"/>
              <w:start w:w="90" w:type="dxa"/>
              <w:bottom w:w="70" w:type="dxa"/>
              <w:end w:w="90" w:type="dxa"/>
            </w:tcMar>
            <w:shd w:fill="F6F8FA"/>
          </w:tcPr>
          <w:p>
            <w:pPr>
              <w:spacing w:after="0"/>
            </w:pPr>
            <w:r>
              <w:rPr>
                <w:rFonts w:ascii="Arial" w:hAnsi="Arial"/>
                <w:sz w:val="16"/>
              </w:rPr>
              <w:t>Sales / Partnerships</w:t>
            </w:r>
          </w:p>
        </w:tc>
        <w:tc>
          <w:tcPr>
            <w:tcW w:type="dxa" w:w="1008"/>
            <w:vAlign w:val="top"/>
            <w:tcMar>
              <w:top w:w="70" w:type="dxa"/>
              <w:start w:w="90" w:type="dxa"/>
              <w:bottom w:w="70" w:type="dxa"/>
              <w:end w:w="90" w:type="dxa"/>
            </w:tcMar>
            <w:shd w:fill="F6F8FA"/>
          </w:tcPr>
          <w:p>
            <w:pPr>
              <w:spacing w:after="0"/>
            </w:pPr>
            <w:r>
              <w:rPr>
                <w:rFonts w:ascii="Arial" w:hAnsi="Arial"/>
                <w:sz w:val="16"/>
              </w:rPr>
              <w:t>600</w:t>
            </w:r>
          </w:p>
        </w:tc>
        <w:tc>
          <w:tcPr>
            <w:tcW w:type="dxa" w:w="864"/>
            <w:vAlign w:val="top"/>
            <w:tcMar>
              <w:top w:w="70" w:type="dxa"/>
              <w:start w:w="90" w:type="dxa"/>
              <w:bottom w:w="70" w:type="dxa"/>
              <w:end w:w="90" w:type="dxa"/>
            </w:tcMar>
            <w:shd w:fill="F6F8FA"/>
          </w:tcPr>
          <w:p>
            <w:pPr>
              <w:spacing w:after="0"/>
            </w:pPr>
            <w:r>
              <w:rPr>
                <w:rFonts w:ascii="Arial" w:hAnsi="Arial"/>
                <w:sz w:val="16"/>
              </w:rPr>
              <w:t>20</w:t>
            </w:r>
          </w:p>
        </w:tc>
        <w:tc>
          <w:tcPr>
            <w:tcW w:type="dxa" w:w="5616"/>
            <w:vAlign w:val="top"/>
            <w:tcMar>
              <w:top w:w="70" w:type="dxa"/>
              <w:start w:w="90" w:type="dxa"/>
              <w:bottom w:w="70" w:type="dxa"/>
              <w:end w:w="90" w:type="dxa"/>
            </w:tcMar>
            <w:shd w:fill="F6F8FA"/>
          </w:tcPr>
          <w:p>
            <w:pPr>
              <w:spacing w:after="0"/>
            </w:pPr>
            <w:r>
              <w:rPr>
                <w:rFonts w:ascii="Arial" w:hAnsi="Arial"/>
                <w:sz w:val="16"/>
              </w:rPr>
              <w:t>Enterprise Sales; Mid-market; Partnerships; Solutions Consulting</w:t>
            </w:r>
          </w:p>
        </w:tc>
      </w:tr>
      <w:tr>
        <w:tc>
          <w:tcPr>
            <w:tcW w:type="dxa" w:w="2448"/>
            <w:vAlign w:val="top"/>
            <w:tcMar>
              <w:top w:w="70" w:type="dxa"/>
              <w:start w:w="90" w:type="dxa"/>
              <w:bottom w:w="70" w:type="dxa"/>
              <w:end w:w="90" w:type="dxa"/>
            </w:tcMar>
          </w:tcPr>
          <w:p>
            <w:pPr>
              <w:spacing w:after="0"/>
            </w:pPr>
            <w:r>
              <w:rPr>
                <w:rFonts w:ascii="Arial" w:hAnsi="Arial"/>
                <w:sz w:val="16"/>
              </w:rPr>
              <w:t>Customer Success / Implementation</w:t>
            </w:r>
          </w:p>
        </w:tc>
        <w:tc>
          <w:tcPr>
            <w:tcW w:type="dxa" w:w="1008"/>
            <w:vAlign w:val="top"/>
            <w:tcMar>
              <w:top w:w="70" w:type="dxa"/>
              <w:start w:w="90" w:type="dxa"/>
              <w:bottom w:w="70" w:type="dxa"/>
              <w:end w:w="90" w:type="dxa"/>
            </w:tcMar>
          </w:tcPr>
          <w:p>
            <w:pPr>
              <w:spacing w:after="0"/>
            </w:pPr>
            <w:r>
              <w:rPr>
                <w:rFonts w:ascii="Arial" w:hAnsi="Arial"/>
                <w:sz w:val="16"/>
              </w:rPr>
              <w:t>450</w:t>
            </w:r>
          </w:p>
        </w:tc>
        <w:tc>
          <w:tcPr>
            <w:tcW w:type="dxa" w:w="864"/>
            <w:vAlign w:val="top"/>
            <w:tcMar>
              <w:top w:w="70" w:type="dxa"/>
              <w:start w:w="90" w:type="dxa"/>
              <w:bottom w:w="70" w:type="dxa"/>
              <w:end w:w="90" w:type="dxa"/>
            </w:tcMar>
          </w:tcPr>
          <w:p>
            <w:pPr>
              <w:spacing w:after="0"/>
            </w:pPr>
            <w:r>
              <w:rPr>
                <w:rFonts w:ascii="Arial" w:hAnsi="Arial"/>
                <w:sz w:val="16"/>
              </w:rPr>
              <w:t>15</w:t>
            </w:r>
          </w:p>
        </w:tc>
        <w:tc>
          <w:tcPr>
            <w:tcW w:type="dxa" w:w="5616"/>
            <w:vAlign w:val="top"/>
            <w:tcMar>
              <w:top w:w="70" w:type="dxa"/>
              <w:start w:w="90" w:type="dxa"/>
              <w:bottom w:w="70" w:type="dxa"/>
              <w:end w:w="90" w:type="dxa"/>
            </w:tcMar>
          </w:tcPr>
          <w:p>
            <w:pPr>
              <w:spacing w:after="0"/>
            </w:pPr>
            <w:r>
              <w:rPr>
                <w:rFonts w:ascii="Arial" w:hAnsi="Arial"/>
                <w:sz w:val="16"/>
              </w:rPr>
              <w:t>Implementation pods; Technical Account Mgmt; Customer Success; Training</w:t>
            </w:r>
          </w:p>
        </w:tc>
      </w:tr>
      <w:tr>
        <w:tc>
          <w:tcPr>
            <w:tcW w:type="dxa" w:w="2448"/>
            <w:vAlign w:val="top"/>
            <w:tcMar>
              <w:top w:w="70" w:type="dxa"/>
              <w:start w:w="90" w:type="dxa"/>
              <w:bottom w:w="70" w:type="dxa"/>
              <w:end w:w="90" w:type="dxa"/>
            </w:tcMar>
            <w:shd w:fill="F6F8FA"/>
          </w:tcPr>
          <w:p>
            <w:pPr>
              <w:spacing w:after="0"/>
            </w:pPr>
            <w:r>
              <w:rPr>
                <w:rFonts w:ascii="Arial" w:hAnsi="Arial"/>
                <w:sz w:val="16"/>
              </w:rPr>
              <w:t>People / HR</w:t>
            </w:r>
          </w:p>
        </w:tc>
        <w:tc>
          <w:tcPr>
            <w:tcW w:type="dxa" w:w="1008"/>
            <w:vAlign w:val="top"/>
            <w:tcMar>
              <w:top w:w="70" w:type="dxa"/>
              <w:start w:w="90" w:type="dxa"/>
              <w:bottom w:w="70" w:type="dxa"/>
              <w:end w:w="90" w:type="dxa"/>
            </w:tcMar>
            <w:shd w:fill="F6F8FA"/>
          </w:tcPr>
          <w:p>
            <w:pPr>
              <w:spacing w:after="0"/>
            </w:pPr>
            <w:r>
              <w:rPr>
                <w:rFonts w:ascii="Arial" w:hAnsi="Arial"/>
                <w:sz w:val="16"/>
              </w:rPr>
              <w:t>120</w:t>
            </w:r>
          </w:p>
        </w:tc>
        <w:tc>
          <w:tcPr>
            <w:tcW w:type="dxa" w:w="864"/>
            <w:vAlign w:val="top"/>
            <w:tcMar>
              <w:top w:w="70" w:type="dxa"/>
              <w:start w:w="90" w:type="dxa"/>
              <w:bottom w:w="70" w:type="dxa"/>
              <w:end w:w="90" w:type="dxa"/>
            </w:tcMar>
            <w:shd w:fill="F6F8FA"/>
          </w:tcPr>
          <w:p>
            <w:pPr>
              <w:spacing w:after="0"/>
            </w:pPr>
            <w:r>
              <w:rPr>
                <w:rFonts w:ascii="Arial" w:hAnsi="Arial"/>
                <w:sz w:val="16"/>
              </w:rPr>
              <w:t>6</w:t>
            </w:r>
          </w:p>
        </w:tc>
        <w:tc>
          <w:tcPr>
            <w:tcW w:type="dxa" w:w="5616"/>
            <w:vAlign w:val="top"/>
            <w:tcMar>
              <w:top w:w="70" w:type="dxa"/>
              <w:start w:w="90" w:type="dxa"/>
              <w:bottom w:w="70" w:type="dxa"/>
              <w:end w:w="90" w:type="dxa"/>
            </w:tcMar>
            <w:shd w:fill="F6F8FA"/>
          </w:tcPr>
          <w:p>
            <w:pPr>
              <w:spacing w:after="0"/>
            </w:pPr>
            <w:r>
              <w:rPr>
                <w:rFonts w:ascii="Arial" w:hAnsi="Arial"/>
                <w:sz w:val="16"/>
              </w:rPr>
              <w:t>People Ops; Onboarding; L&amp;D; HR Systems; Workforce Operations</w:t>
            </w:r>
          </w:p>
        </w:tc>
      </w:tr>
      <w:tr>
        <w:tc>
          <w:tcPr>
            <w:tcW w:type="dxa" w:w="2448"/>
            <w:vAlign w:val="top"/>
            <w:tcMar>
              <w:top w:w="70" w:type="dxa"/>
              <w:start w:w="90" w:type="dxa"/>
              <w:bottom w:w="70" w:type="dxa"/>
              <w:end w:w="90" w:type="dxa"/>
            </w:tcMar>
          </w:tcPr>
          <w:p>
            <w:pPr>
              <w:spacing w:after="0"/>
            </w:pPr>
            <w:r>
              <w:rPr>
                <w:rFonts w:ascii="Arial" w:hAnsi="Arial"/>
                <w:sz w:val="16"/>
              </w:rPr>
              <w:t>Finance / Legal / Corporate Ops</w:t>
            </w:r>
          </w:p>
        </w:tc>
        <w:tc>
          <w:tcPr>
            <w:tcW w:type="dxa" w:w="1008"/>
            <w:vAlign w:val="top"/>
            <w:tcMar>
              <w:top w:w="70" w:type="dxa"/>
              <w:start w:w="90" w:type="dxa"/>
              <w:bottom w:w="70" w:type="dxa"/>
              <w:end w:w="90" w:type="dxa"/>
            </w:tcMar>
          </w:tcPr>
          <w:p>
            <w:pPr>
              <w:spacing w:after="0"/>
            </w:pPr>
            <w:r>
              <w:rPr>
                <w:rFonts w:ascii="Arial" w:hAnsi="Arial"/>
                <w:sz w:val="16"/>
              </w:rPr>
              <w:t>180</w:t>
            </w:r>
          </w:p>
        </w:tc>
        <w:tc>
          <w:tcPr>
            <w:tcW w:type="dxa" w:w="864"/>
            <w:vAlign w:val="top"/>
            <w:tcMar>
              <w:top w:w="70" w:type="dxa"/>
              <w:start w:w="90" w:type="dxa"/>
              <w:bottom w:w="70" w:type="dxa"/>
              <w:end w:w="90" w:type="dxa"/>
            </w:tcMar>
          </w:tcPr>
          <w:p>
            <w:pPr>
              <w:spacing w:after="0"/>
            </w:pPr>
            <w:r>
              <w:rPr>
                <w:rFonts w:ascii="Arial" w:hAnsi="Arial"/>
                <w:sz w:val="16"/>
              </w:rPr>
              <w:t>8</w:t>
            </w:r>
          </w:p>
        </w:tc>
        <w:tc>
          <w:tcPr>
            <w:tcW w:type="dxa" w:w="5616"/>
            <w:vAlign w:val="top"/>
            <w:tcMar>
              <w:top w:w="70" w:type="dxa"/>
              <w:start w:w="90" w:type="dxa"/>
              <w:bottom w:w="70" w:type="dxa"/>
              <w:end w:w="90" w:type="dxa"/>
            </w:tcMar>
          </w:tcPr>
          <w:p>
            <w:pPr>
              <w:spacing w:after="0"/>
            </w:pPr>
            <w:r>
              <w:rPr>
                <w:rFonts w:ascii="Arial" w:hAnsi="Arial"/>
                <w:sz w:val="16"/>
              </w:rPr>
              <w:t>Finance; Legal; Procurement; Corporate IT; Risk; Business Operations</w:t>
            </w:r>
          </w:p>
        </w:tc>
      </w:tr>
      <w:tr>
        <w:tc>
          <w:tcPr>
            <w:tcW w:type="dxa" w:w="2448"/>
            <w:vAlign w:val="top"/>
            <w:tcMar>
              <w:top w:w="70" w:type="dxa"/>
              <w:start w:w="90" w:type="dxa"/>
              <w:bottom w:w="70" w:type="dxa"/>
              <w:end w:w="90" w:type="dxa"/>
            </w:tcMar>
            <w:shd w:fill="F6F8FA"/>
          </w:tcPr>
          <w:p>
            <w:pPr>
              <w:spacing w:after="0"/>
            </w:pPr>
            <w:r>
              <w:rPr>
                <w:rFonts w:ascii="Arial" w:hAnsi="Arial"/>
                <w:sz w:val="16"/>
              </w:rPr>
              <w:t>Security / Data / Shared Platform</w:t>
            </w:r>
          </w:p>
        </w:tc>
        <w:tc>
          <w:tcPr>
            <w:tcW w:type="dxa" w:w="1008"/>
            <w:vAlign w:val="top"/>
            <w:tcMar>
              <w:top w:w="70" w:type="dxa"/>
              <w:start w:w="90" w:type="dxa"/>
              <w:bottom w:w="70" w:type="dxa"/>
              <w:end w:w="90" w:type="dxa"/>
            </w:tcMar>
            <w:shd w:fill="F6F8FA"/>
          </w:tcPr>
          <w:p>
            <w:pPr>
              <w:spacing w:after="0"/>
            </w:pPr>
            <w:r>
              <w:rPr>
                <w:rFonts w:ascii="Arial" w:hAnsi="Arial"/>
                <w:sz w:val="16"/>
              </w:rPr>
              <w:t>250</w:t>
            </w:r>
          </w:p>
        </w:tc>
        <w:tc>
          <w:tcPr>
            <w:tcW w:type="dxa" w:w="864"/>
            <w:vAlign w:val="top"/>
            <w:tcMar>
              <w:top w:w="70" w:type="dxa"/>
              <w:start w:w="90" w:type="dxa"/>
              <w:bottom w:w="70" w:type="dxa"/>
              <w:end w:w="90" w:type="dxa"/>
            </w:tcMar>
            <w:shd w:fill="F6F8FA"/>
          </w:tcPr>
          <w:p>
            <w:pPr>
              <w:spacing w:after="0"/>
            </w:pPr>
            <w:r>
              <w:rPr>
                <w:rFonts w:ascii="Arial" w:hAnsi="Arial"/>
                <w:sz w:val="16"/>
              </w:rPr>
              <w:t>10</w:t>
            </w:r>
          </w:p>
        </w:tc>
        <w:tc>
          <w:tcPr>
            <w:tcW w:type="dxa" w:w="5616"/>
            <w:vAlign w:val="top"/>
            <w:tcMar>
              <w:top w:w="70" w:type="dxa"/>
              <w:start w:w="90" w:type="dxa"/>
              <w:bottom w:w="70" w:type="dxa"/>
              <w:end w:w="90" w:type="dxa"/>
            </w:tcMar>
            <w:shd w:fill="F6F8FA"/>
          </w:tcPr>
          <w:p>
            <w:pPr>
              <w:spacing w:after="0"/>
            </w:pPr>
            <w:r>
              <w:rPr>
                <w:rFonts w:ascii="Arial" w:hAnsi="Arial"/>
                <w:sz w:val="16"/>
              </w:rPr>
              <w:t>Security; Data Platform; Cloud Platform; Developer Platform; Architecture Review</w:t>
            </w:r>
          </w:p>
        </w:tc>
      </w:tr>
      <w:tr>
        <w:tc>
          <w:tcPr>
            <w:tcW w:type="dxa" w:w="2448"/>
            <w:vAlign w:val="top"/>
            <w:tcMar>
              <w:top w:w="70" w:type="dxa"/>
              <w:start w:w="90" w:type="dxa"/>
              <w:bottom w:w="70" w:type="dxa"/>
              <w:end w:w="90" w:type="dxa"/>
            </w:tcMar>
          </w:tcPr>
          <w:p>
            <w:pPr>
              <w:spacing w:after="0"/>
            </w:pPr>
            <w:r>
              <w:rPr>
                <w:rFonts w:ascii="Arial" w:hAnsi="Arial"/>
                <w:sz w:val="16"/>
              </w:rPr>
              <w:t>TOTAL</w:t>
            </w:r>
          </w:p>
        </w:tc>
        <w:tc>
          <w:tcPr>
            <w:tcW w:type="dxa" w:w="1008"/>
            <w:vAlign w:val="top"/>
            <w:tcMar>
              <w:top w:w="70" w:type="dxa"/>
              <w:start w:w="90" w:type="dxa"/>
              <w:bottom w:w="70" w:type="dxa"/>
              <w:end w:w="90" w:type="dxa"/>
            </w:tcMar>
          </w:tcPr>
          <w:p>
            <w:pPr>
              <w:spacing w:after="0"/>
            </w:pPr>
            <w:r>
              <w:rPr>
                <w:rFonts w:ascii="Arial" w:hAnsi="Arial"/>
                <w:sz w:val="16"/>
              </w:rPr>
              <w:t>3,000</w:t>
            </w:r>
          </w:p>
        </w:tc>
        <w:tc>
          <w:tcPr>
            <w:tcW w:type="dxa" w:w="864"/>
            <w:vAlign w:val="top"/>
            <w:tcMar>
              <w:top w:w="70" w:type="dxa"/>
              <w:start w:w="90" w:type="dxa"/>
              <w:bottom w:w="70" w:type="dxa"/>
              <w:end w:w="90" w:type="dxa"/>
            </w:tcMar>
          </w:tcPr>
          <w:p>
            <w:pPr>
              <w:spacing w:after="0"/>
            </w:pPr>
            <w:r>
              <w:rPr>
                <w:rFonts w:ascii="Arial" w:hAnsi="Arial"/>
                <w:sz w:val="16"/>
              </w:rPr>
              <w:t>117</w:t>
            </w:r>
          </w:p>
        </w:tc>
        <w:tc>
          <w:tcPr>
            <w:tcW w:type="dxa" w:w="5616"/>
            <w:vAlign w:val="top"/>
            <w:tcMar>
              <w:top w:w="70" w:type="dxa"/>
              <w:start w:w="90" w:type="dxa"/>
              <w:bottom w:w="70" w:type="dxa"/>
              <w:end w:w="90" w:type="dxa"/>
            </w:tcMar>
          </w:tcPr>
          <w:p>
            <w:pPr>
              <w:spacing w:after="0"/>
            </w:pPr>
            <w:r>
              <w:rPr>
                <w:rFonts w:ascii="Arial" w:hAnsi="Arial"/>
                <w:sz w:val="16"/>
              </w:rPr>
              <w:t>Synthetic target, not a claim about any real company</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sz w:val="20"/>
              </w:rPr>
              <w:t>Important</w:t>
              <w:br/>
            </w:r>
            <w:r>
              <w:rPr>
                <w:sz w:val="18"/>
              </w:rPr>
              <w:t>The UI should never attempt to display all 3,000 employees or all tasks at once. Show the company-scale counts, then show the affected teams/employees/commitments for the current change.</w:t>
            </w:r>
          </w:p>
        </w:tc>
      </w:tr>
    </w:tbl>
    <w:p>
      <w:pPr>
        <w:spacing w:after="0"/>
      </w:pPr>
    </w:p>
    <w:p>
      <w:pPr>
        <w:pStyle w:val="Heading2"/>
      </w:pPr>
      <w:r>
        <w:t>2.1 Operational dataset targets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7365D"/>
            <w:vAlign w:val="center"/>
            <w:tcMar>
              <w:top w:w="70" w:type="dxa"/>
              <w:start w:w="90" w:type="dxa"/>
              <w:bottom w:w="70" w:type="dxa"/>
              <w:end w:w="90" w:type="dxa"/>
            </w:tcMar>
          </w:tcPr>
          <w:p>
            <w:pPr>
              <w:jc w:val="left"/>
            </w:pPr>
            <w:r>
              <w:rPr>
                <w:rFonts w:ascii="Arial" w:hAnsi="Arial"/>
                <w:b/>
                <w:color w:val="FFFFFF"/>
                <w:sz w:val="16"/>
              </w:rPr>
              <w:t>Entity</w:t>
            </w:r>
          </w:p>
        </w:tc>
        <w:tc>
          <w:tcPr>
            <w:tcW w:type="dxa" w:w="1872"/>
            <w:shd w:fill="17365D"/>
            <w:vAlign w:val="center"/>
            <w:tcMar>
              <w:top w:w="70" w:type="dxa"/>
              <w:start w:w="90" w:type="dxa"/>
              <w:bottom w:w="70" w:type="dxa"/>
              <w:end w:w="90" w:type="dxa"/>
            </w:tcMar>
          </w:tcPr>
          <w:p>
            <w:pPr>
              <w:jc w:val="left"/>
            </w:pPr>
            <w:r>
              <w:rPr>
                <w:rFonts w:ascii="Arial" w:hAnsi="Arial"/>
                <w:b/>
                <w:color w:val="FFFFFF"/>
                <w:sz w:val="16"/>
              </w:rPr>
              <w:t>Full-scale target</w:t>
            </w:r>
          </w:p>
        </w:tc>
        <w:tc>
          <w:tcPr>
            <w:tcW w:type="dxa" w:w="5472"/>
            <w:shd w:fill="17365D"/>
            <w:vAlign w:val="center"/>
            <w:tcMar>
              <w:top w:w="70" w:type="dxa"/>
              <w:start w:w="90" w:type="dxa"/>
              <w:bottom w:w="70" w:type="dxa"/>
              <w:end w:w="90" w:type="dxa"/>
            </w:tcMar>
          </w:tcPr>
          <w:p>
            <w:pPr>
              <w:jc w:val="left"/>
            </w:pPr>
            <w:r>
              <w:rPr>
                <w:rFonts w:ascii="Arial" w:hAnsi="Arial"/>
                <w:b/>
                <w:color w:val="FFFFFF"/>
                <w:sz w:val="16"/>
              </w:rPr>
              <w:t>Notes</w:t>
            </w:r>
          </w:p>
        </w:tc>
      </w:tr>
      <w:tr>
        <w:tc>
          <w:tcPr>
            <w:tcW w:type="dxa" w:w="2592"/>
            <w:vAlign w:val="top"/>
            <w:tcMar>
              <w:top w:w="70" w:type="dxa"/>
              <w:start w:w="90" w:type="dxa"/>
              <w:bottom w:w="70" w:type="dxa"/>
              <w:end w:w="90" w:type="dxa"/>
            </w:tcMar>
          </w:tcPr>
          <w:p>
            <w:pPr>
              <w:spacing w:after="0"/>
            </w:pPr>
            <w:r>
              <w:rPr>
                <w:rFonts w:ascii="Arial" w:hAnsi="Arial"/>
                <w:sz w:val="16"/>
              </w:rPr>
              <w:t>Employees</w:t>
            </w:r>
          </w:p>
        </w:tc>
        <w:tc>
          <w:tcPr>
            <w:tcW w:type="dxa" w:w="1872"/>
            <w:vAlign w:val="top"/>
            <w:tcMar>
              <w:top w:w="70" w:type="dxa"/>
              <w:start w:w="90" w:type="dxa"/>
              <w:bottom w:w="70" w:type="dxa"/>
              <w:end w:w="90" w:type="dxa"/>
            </w:tcMar>
          </w:tcPr>
          <w:p>
            <w:pPr>
              <w:spacing w:after="0"/>
            </w:pPr>
            <w:r>
              <w:rPr>
                <w:rFonts w:ascii="Arial" w:hAnsi="Arial"/>
                <w:sz w:val="16"/>
              </w:rPr>
              <w:t>3,000</w:t>
            </w:r>
          </w:p>
        </w:tc>
        <w:tc>
          <w:tcPr>
            <w:tcW w:type="dxa" w:w="5472"/>
            <w:vAlign w:val="top"/>
            <w:tcMar>
              <w:top w:w="70" w:type="dxa"/>
              <w:start w:w="90" w:type="dxa"/>
              <w:bottom w:w="70" w:type="dxa"/>
              <w:end w:w="90" w:type="dxa"/>
            </w:tcMar>
          </w:tcPr>
          <w:p>
            <w:pPr>
              <w:spacing w:after="0"/>
            </w:pPr>
            <w:r>
              <w:rPr>
                <w:rFonts w:ascii="Arial" w:hAnsi="Arial"/>
                <w:sz w:val="16"/>
              </w:rPr>
              <w:t>Each has one company identity; may belong to multiple teams.</w:t>
            </w:r>
          </w:p>
        </w:tc>
      </w:tr>
      <w:tr>
        <w:tc>
          <w:tcPr>
            <w:tcW w:type="dxa" w:w="2592"/>
            <w:vAlign w:val="top"/>
            <w:tcMar>
              <w:top w:w="70" w:type="dxa"/>
              <w:start w:w="90" w:type="dxa"/>
              <w:bottom w:w="70" w:type="dxa"/>
              <w:end w:w="90" w:type="dxa"/>
            </w:tcMar>
            <w:shd w:fill="F6F8FA"/>
          </w:tcPr>
          <w:p>
            <w:pPr>
              <w:spacing w:after="0"/>
            </w:pPr>
            <w:r>
              <w:rPr>
                <w:rFonts w:ascii="Arial" w:hAnsi="Arial"/>
                <w:sz w:val="16"/>
              </w:rPr>
              <w:t>Teams</w:t>
            </w:r>
          </w:p>
        </w:tc>
        <w:tc>
          <w:tcPr>
            <w:tcW w:type="dxa" w:w="1872"/>
            <w:vAlign w:val="top"/>
            <w:tcMar>
              <w:top w:w="70" w:type="dxa"/>
              <w:start w:w="90" w:type="dxa"/>
              <w:bottom w:w="70" w:type="dxa"/>
              <w:end w:w="90" w:type="dxa"/>
            </w:tcMar>
            <w:shd w:fill="F6F8FA"/>
          </w:tcPr>
          <w:p>
            <w:pPr>
              <w:spacing w:after="0"/>
            </w:pPr>
            <w:r>
              <w:rPr>
                <w:rFonts w:ascii="Arial" w:hAnsi="Arial"/>
                <w:sz w:val="16"/>
              </w:rPr>
              <w:t>117</w:t>
            </w:r>
          </w:p>
        </w:tc>
        <w:tc>
          <w:tcPr>
            <w:tcW w:type="dxa" w:w="5472"/>
            <w:vAlign w:val="top"/>
            <w:tcMar>
              <w:top w:w="70" w:type="dxa"/>
              <w:start w:w="90" w:type="dxa"/>
              <w:bottom w:w="70" w:type="dxa"/>
              <w:end w:w="90" w:type="dxa"/>
            </w:tcMar>
            <w:shd w:fill="F6F8FA"/>
          </w:tcPr>
          <w:p>
            <w:pPr>
              <w:spacing w:after="0"/>
            </w:pPr>
            <w:r>
              <w:rPr>
                <w:rFonts w:ascii="Arial" w:hAnsi="Arial"/>
                <w:sz w:val="16"/>
              </w:rPr>
              <w:t>Functional and project-oriented membership.</w:t>
            </w:r>
          </w:p>
        </w:tc>
      </w:tr>
      <w:tr>
        <w:tc>
          <w:tcPr>
            <w:tcW w:type="dxa" w:w="2592"/>
            <w:vAlign w:val="top"/>
            <w:tcMar>
              <w:top w:w="70" w:type="dxa"/>
              <w:start w:w="90" w:type="dxa"/>
              <w:bottom w:w="70" w:type="dxa"/>
              <w:end w:w="90" w:type="dxa"/>
            </w:tcMar>
          </w:tcPr>
          <w:p>
            <w:pPr>
              <w:spacing w:after="0"/>
            </w:pPr>
            <w:r>
              <w:rPr>
                <w:rFonts w:ascii="Arial" w:hAnsi="Arial"/>
                <w:sz w:val="16"/>
              </w:rPr>
              <w:t>Active projects</w:t>
            </w:r>
          </w:p>
        </w:tc>
        <w:tc>
          <w:tcPr>
            <w:tcW w:type="dxa" w:w="1872"/>
            <w:vAlign w:val="top"/>
            <w:tcMar>
              <w:top w:w="70" w:type="dxa"/>
              <w:start w:w="90" w:type="dxa"/>
              <w:bottom w:w="70" w:type="dxa"/>
              <w:end w:w="90" w:type="dxa"/>
            </w:tcMar>
          </w:tcPr>
          <w:p>
            <w:pPr>
              <w:spacing w:after="0"/>
            </w:pPr>
            <w:r>
              <w:rPr>
                <w:rFonts w:ascii="Arial" w:hAnsi="Arial"/>
                <w:sz w:val="16"/>
              </w:rPr>
              <w:t>~150</w:t>
            </w:r>
          </w:p>
        </w:tc>
        <w:tc>
          <w:tcPr>
            <w:tcW w:type="dxa" w:w="5472"/>
            <w:vAlign w:val="top"/>
            <w:tcMar>
              <w:top w:w="70" w:type="dxa"/>
              <w:start w:w="90" w:type="dxa"/>
              <w:bottom w:w="70" w:type="dxa"/>
              <w:end w:w="90" w:type="dxa"/>
            </w:tcMar>
          </w:tcPr>
          <w:p>
            <w:pPr>
              <w:spacing w:after="0"/>
            </w:pPr>
            <w:r>
              <w:rPr>
                <w:rFonts w:ascii="Arial" w:hAnsi="Arial"/>
                <w:sz w:val="16"/>
              </w:rPr>
              <w:t>Mix of product, customer implementation, internal operations and support.</w:t>
            </w:r>
          </w:p>
        </w:tc>
      </w:tr>
      <w:tr>
        <w:tc>
          <w:tcPr>
            <w:tcW w:type="dxa" w:w="2592"/>
            <w:vAlign w:val="top"/>
            <w:tcMar>
              <w:top w:w="70" w:type="dxa"/>
              <w:start w:w="90" w:type="dxa"/>
              <w:bottom w:w="70" w:type="dxa"/>
              <w:end w:w="90" w:type="dxa"/>
            </w:tcMar>
            <w:shd w:fill="F6F8FA"/>
          </w:tcPr>
          <w:p>
            <w:pPr>
              <w:spacing w:after="0"/>
            </w:pPr>
            <w:r>
              <w:rPr>
                <w:rFonts w:ascii="Arial" w:hAnsi="Arial"/>
                <w:sz w:val="16"/>
              </w:rPr>
              <w:t>Active tasks / commitments</w:t>
            </w:r>
          </w:p>
        </w:tc>
        <w:tc>
          <w:tcPr>
            <w:tcW w:type="dxa" w:w="1872"/>
            <w:vAlign w:val="top"/>
            <w:tcMar>
              <w:top w:w="70" w:type="dxa"/>
              <w:start w:w="90" w:type="dxa"/>
              <w:bottom w:w="70" w:type="dxa"/>
              <w:end w:w="90" w:type="dxa"/>
            </w:tcMar>
            <w:shd w:fill="F6F8FA"/>
          </w:tcPr>
          <w:p>
            <w:pPr>
              <w:spacing w:after="0"/>
            </w:pPr>
            <w:r>
              <w:rPr>
                <w:rFonts w:ascii="Arial" w:hAnsi="Arial"/>
                <w:sz w:val="16"/>
              </w:rPr>
              <w:t>~8,000</w:t>
            </w:r>
          </w:p>
        </w:tc>
        <w:tc>
          <w:tcPr>
            <w:tcW w:type="dxa" w:w="5472"/>
            <w:vAlign w:val="top"/>
            <w:tcMar>
              <w:top w:w="70" w:type="dxa"/>
              <w:start w:w="90" w:type="dxa"/>
              <w:bottom w:w="70" w:type="dxa"/>
              <w:end w:w="90" w:type="dxa"/>
            </w:tcMar>
            <w:shd w:fill="F6F8FA"/>
          </w:tcPr>
          <w:p>
            <w:pPr>
              <w:spacing w:after="0"/>
            </w:pPr>
            <w:r>
              <w:rPr>
                <w:rFonts w:ascii="Arial" w:hAnsi="Arial"/>
                <w:sz w:val="16"/>
              </w:rPr>
              <w:t>Statuses, deadlines, effort, owners, reviewers and dependencies.</w:t>
            </w:r>
          </w:p>
        </w:tc>
      </w:tr>
      <w:tr>
        <w:tc>
          <w:tcPr>
            <w:tcW w:type="dxa" w:w="2592"/>
            <w:vAlign w:val="top"/>
            <w:tcMar>
              <w:top w:w="70" w:type="dxa"/>
              <w:start w:w="90" w:type="dxa"/>
              <w:bottom w:w="70" w:type="dxa"/>
              <w:end w:w="90" w:type="dxa"/>
            </w:tcMar>
          </w:tcPr>
          <w:p>
            <w:pPr>
              <w:spacing w:after="0"/>
            </w:pPr>
            <w:r>
              <w:rPr>
                <w:rFonts w:ascii="Arial" w:hAnsi="Arial"/>
                <w:sz w:val="16"/>
              </w:rPr>
              <w:t>Cross-team dependency edges</w:t>
            </w:r>
          </w:p>
        </w:tc>
        <w:tc>
          <w:tcPr>
            <w:tcW w:type="dxa" w:w="1872"/>
            <w:vAlign w:val="top"/>
            <w:tcMar>
              <w:top w:w="70" w:type="dxa"/>
              <w:start w:w="90" w:type="dxa"/>
              <w:bottom w:w="70" w:type="dxa"/>
              <w:end w:w="90" w:type="dxa"/>
            </w:tcMar>
          </w:tcPr>
          <w:p>
            <w:pPr>
              <w:spacing w:after="0"/>
            </w:pPr>
            <w:r>
              <w:rPr>
                <w:rFonts w:ascii="Arial" w:hAnsi="Arial"/>
                <w:sz w:val="16"/>
              </w:rPr>
              <w:t>~400–700</w:t>
            </w:r>
          </w:p>
        </w:tc>
        <w:tc>
          <w:tcPr>
            <w:tcW w:type="dxa" w:w="5472"/>
            <w:vAlign w:val="top"/>
            <w:tcMar>
              <w:top w:w="70" w:type="dxa"/>
              <w:start w:w="90" w:type="dxa"/>
              <w:bottom w:w="70" w:type="dxa"/>
              <w:end w:w="90" w:type="dxa"/>
            </w:tcMar>
          </w:tcPr>
          <w:p>
            <w:pPr>
              <w:spacing w:after="0"/>
            </w:pPr>
            <w:r>
              <w:rPr>
                <w:rFonts w:ascii="Arial" w:hAnsi="Arial"/>
                <w:sz w:val="16"/>
              </w:rPr>
              <w:t>Use explicit task/project dependencies plus shared-resource links.</w:t>
            </w:r>
          </w:p>
        </w:tc>
      </w:tr>
      <w:tr>
        <w:tc>
          <w:tcPr>
            <w:tcW w:type="dxa" w:w="2592"/>
            <w:vAlign w:val="top"/>
            <w:tcMar>
              <w:top w:w="70" w:type="dxa"/>
              <w:start w:w="90" w:type="dxa"/>
              <w:bottom w:w="70" w:type="dxa"/>
              <w:end w:w="90" w:type="dxa"/>
            </w:tcMar>
            <w:shd w:fill="F6F8FA"/>
          </w:tcPr>
          <w:p>
            <w:pPr>
              <w:spacing w:after="0"/>
            </w:pPr>
            <w:r>
              <w:rPr>
                <w:rFonts w:ascii="Arial" w:hAnsi="Arial"/>
                <w:sz w:val="16"/>
              </w:rPr>
              <w:t>Shared specialists</w:t>
            </w:r>
          </w:p>
        </w:tc>
        <w:tc>
          <w:tcPr>
            <w:tcW w:type="dxa" w:w="1872"/>
            <w:vAlign w:val="top"/>
            <w:tcMar>
              <w:top w:w="70" w:type="dxa"/>
              <w:start w:w="90" w:type="dxa"/>
              <w:bottom w:w="70" w:type="dxa"/>
              <w:end w:w="90" w:type="dxa"/>
            </w:tcMar>
            <w:shd w:fill="F6F8FA"/>
          </w:tcPr>
          <w:p>
            <w:pPr>
              <w:spacing w:after="0"/>
            </w:pPr>
            <w:r>
              <w:rPr>
                <w:rFonts w:ascii="Arial" w:hAnsi="Arial"/>
                <w:sz w:val="16"/>
              </w:rPr>
              <w:t>~120</w:t>
            </w:r>
          </w:p>
        </w:tc>
        <w:tc>
          <w:tcPr>
            <w:tcW w:type="dxa" w:w="5472"/>
            <w:vAlign w:val="top"/>
            <w:tcMar>
              <w:top w:w="70" w:type="dxa"/>
              <w:start w:w="90" w:type="dxa"/>
              <w:bottom w:w="70" w:type="dxa"/>
              <w:end w:w="90" w:type="dxa"/>
            </w:tcMar>
            <w:shd w:fill="F6F8FA"/>
          </w:tcPr>
          <w:p>
            <w:pPr>
              <w:spacing w:after="0"/>
            </w:pPr>
            <w:r>
              <w:rPr>
                <w:rFonts w:ascii="Arial" w:hAnsi="Arial"/>
                <w:sz w:val="16"/>
              </w:rPr>
              <w:t>Security, SRE, data, legal, QA, architecture, training, etc.</w:t>
            </w:r>
          </w:p>
        </w:tc>
      </w:tr>
      <w:tr>
        <w:tc>
          <w:tcPr>
            <w:tcW w:type="dxa" w:w="2592"/>
            <w:vAlign w:val="top"/>
            <w:tcMar>
              <w:top w:w="70" w:type="dxa"/>
              <w:start w:w="90" w:type="dxa"/>
              <w:bottom w:w="70" w:type="dxa"/>
              <w:end w:w="90" w:type="dxa"/>
            </w:tcMar>
          </w:tcPr>
          <w:p>
            <w:pPr>
              <w:spacing w:after="0"/>
            </w:pPr>
            <w:r>
              <w:rPr>
                <w:rFonts w:ascii="Arial" w:hAnsi="Arial"/>
                <w:sz w:val="16"/>
              </w:rPr>
              <w:t>Source records</w:t>
            </w:r>
          </w:p>
        </w:tc>
        <w:tc>
          <w:tcPr>
            <w:tcW w:type="dxa" w:w="1872"/>
            <w:vAlign w:val="top"/>
            <w:tcMar>
              <w:top w:w="70" w:type="dxa"/>
              <w:start w:w="90" w:type="dxa"/>
              <w:bottom w:w="70" w:type="dxa"/>
              <w:end w:w="90" w:type="dxa"/>
            </w:tcMar>
          </w:tcPr>
          <w:p>
            <w:pPr>
              <w:spacing w:after="0"/>
            </w:pPr>
            <w:r>
              <w:rPr>
                <w:rFonts w:ascii="Arial" w:hAnsi="Arial"/>
                <w:sz w:val="16"/>
              </w:rPr>
              <w:t>~2,000–4,000</w:t>
            </w:r>
          </w:p>
        </w:tc>
        <w:tc>
          <w:tcPr>
            <w:tcW w:type="dxa" w:w="5472"/>
            <w:vAlign w:val="top"/>
            <w:tcMar>
              <w:top w:w="70" w:type="dxa"/>
              <w:start w:w="90" w:type="dxa"/>
              <w:bottom w:w="70" w:type="dxa"/>
              <w:end w:w="90" w:type="dxa"/>
            </w:tcMar>
          </w:tcPr>
          <w:p>
            <w:pPr>
              <w:spacing w:after="0"/>
            </w:pPr>
            <w:r>
              <w:rPr>
                <w:rFonts w:ascii="Arial" w:hAnsi="Arial"/>
                <w:sz w:val="16"/>
              </w:rPr>
              <w:t>Task fields, documents, meeting notes, policies, chat excerpts and calendar snapshots.</w:t>
            </w:r>
          </w:p>
        </w:tc>
      </w:tr>
      <w:tr>
        <w:tc>
          <w:tcPr>
            <w:tcW w:type="dxa" w:w="2592"/>
            <w:vAlign w:val="top"/>
            <w:tcMar>
              <w:top w:w="70" w:type="dxa"/>
              <w:start w:w="90" w:type="dxa"/>
              <w:bottom w:w="70" w:type="dxa"/>
              <w:end w:w="90" w:type="dxa"/>
            </w:tcMar>
            <w:shd w:fill="F6F8FA"/>
          </w:tcPr>
          <w:p>
            <w:pPr>
              <w:spacing w:after="0"/>
            </w:pPr>
            <w:r>
              <w:rPr>
                <w:rFonts w:ascii="Arial" w:hAnsi="Arial"/>
                <w:sz w:val="16"/>
              </w:rPr>
              <w:t>Calendar busy intervals</w:t>
            </w:r>
          </w:p>
        </w:tc>
        <w:tc>
          <w:tcPr>
            <w:tcW w:type="dxa" w:w="1872"/>
            <w:vAlign w:val="top"/>
            <w:tcMar>
              <w:top w:w="70" w:type="dxa"/>
              <w:start w:w="90" w:type="dxa"/>
              <w:bottom w:w="70" w:type="dxa"/>
              <w:end w:w="90" w:type="dxa"/>
            </w:tcMar>
            <w:shd w:fill="F6F8FA"/>
          </w:tcPr>
          <w:p>
            <w:pPr>
              <w:spacing w:after="0"/>
            </w:pPr>
            <w:r>
              <w:rPr>
                <w:rFonts w:ascii="Arial" w:hAnsi="Arial"/>
                <w:sz w:val="16"/>
              </w:rPr>
              <w:t>Several thousand / week</w:t>
            </w:r>
          </w:p>
        </w:tc>
        <w:tc>
          <w:tcPr>
            <w:tcW w:type="dxa" w:w="5472"/>
            <w:vAlign w:val="top"/>
            <w:tcMar>
              <w:top w:w="70" w:type="dxa"/>
              <w:start w:w="90" w:type="dxa"/>
              <w:bottom w:w="70" w:type="dxa"/>
              <w:end w:w="90" w:type="dxa"/>
            </w:tcMar>
            <w:shd w:fill="F6F8FA"/>
          </w:tcPr>
          <w:p>
            <w:pPr>
              <w:spacing w:after="0"/>
            </w:pPr>
            <w:r>
              <w:rPr>
                <w:rFonts w:ascii="Arial" w:hAnsi="Arial"/>
                <w:sz w:val="16"/>
              </w:rPr>
              <w:t>Generate fixed meetings and opaque restricted reservations.</w:t>
            </w:r>
          </w:p>
        </w:tc>
      </w:tr>
    </w:tbl>
    <w:p>
      <w:pPr>
        <w:spacing w:after="0"/>
      </w:pPr>
    </w:p>
    <w:p>
      <w:pPr>
        <w:pStyle w:val="Heading2"/>
      </w:pPr>
      <w:r>
        <w:t>2.2 Representative team structure</w:t>
      </w:r>
    </w:p>
    <w:p>
      <w:pPr>
        <w:pStyle w:val="CodeBlock"/>
      </w:pPr>
      <w:r>
        <w:t>Engineering</w:t>
        <w:br/>
        <w:t xml:space="preserve">  Core Platform</w:t>
        <w:br/>
        <w:t xml:space="preserve">  Workflow Engine</w:t>
        <w:br/>
        <w:t xml:space="preserve">  Reporting</w:t>
        <w:br/>
        <w:t xml:space="preserve">  Integrations</w:t>
        <w:br/>
        <w:t xml:space="preserve">  Identity &amp; Access</w:t>
        <w:br/>
        <w:t xml:space="preserve">  Mobile</w:t>
        <w:br/>
        <w:t xml:space="preserve">  Data Infrastructure</w:t>
        <w:br/>
        <w:t xml:space="preserve">  SRE</w:t>
        <w:br/>
        <w:t xml:space="preserve">  QA / Release Engineering</w:t>
        <w:br/>
        <w:br/>
        <w:t>Customer Organization</w:t>
        <w:br/>
        <w:t xml:space="preserve">  Enterprise Implementation A/B/C</w:t>
        <w:br/>
        <w:t xml:space="preserve">  Mid-market Implementation</w:t>
        <w:br/>
        <w:t xml:space="preserve">  Customer Success</w:t>
        <w:br/>
        <w:t xml:space="preserve">  Technical Account Management</w:t>
        <w:br/>
        <w:t xml:space="preserve">  Training / Enablement</w:t>
        <w:br/>
        <w:br/>
        <w:t>Shared Organizations</w:t>
        <w:br/>
        <w:t xml:space="preserve">  Security</w:t>
        <w:br/>
        <w:t xml:space="preserve">  Data Platform</w:t>
        <w:br/>
        <w:t xml:space="preserve">  Cloud / Developer Platform</w:t>
        <w:br/>
        <w:t xml:space="preserve">  Architecture Review</w:t>
        <w:br/>
        <w:t xml:space="preserve">  Legal / Risk</w:t>
        <w:br/>
        <w:t xml:space="preserve">  People Operations</w:t>
      </w:r>
    </w:p>
    <w:p>
      <w:pPr>
        <w:pStyle w:val="Heading1"/>
      </w:pPr>
      <w:r>
        <w:t>3. Privacy, Permissions and Cross-Team Rules</w:t>
      </w:r>
    </w:p>
    <w:p>
      <w:r>
        <w:t>The simulator must make privacy a real property of the data, not a prompt-only convention. Generate access grants and restricted sources so the planner is forced to distinguish capacity facts from underlying private context.</w:t>
      </w: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Mar>
              <w:top w:w="70" w:type="dxa"/>
              <w:start w:w="90" w:type="dxa"/>
              <w:bottom w:w="70" w:type="dxa"/>
              <w:end w:w="90" w:type="dxa"/>
            </w:tcMar>
          </w:tcPr>
          <w:p>
            <w:pPr>
              <w:jc w:val="left"/>
            </w:pPr>
            <w:r>
              <w:rPr>
                <w:rFonts w:ascii="Arial" w:hAnsi="Arial"/>
                <w:b/>
                <w:color w:val="FFFFFF"/>
                <w:sz w:val="17"/>
              </w:rPr>
              <w:t>Rule</w:t>
            </w:r>
          </w:p>
        </w:tc>
        <w:tc>
          <w:tcPr>
            <w:tcW w:type="dxa" w:w="7056"/>
            <w:shd w:fill="17365D"/>
            <w:vAlign w:val="center"/>
            <w:tcMar>
              <w:top w:w="70" w:type="dxa"/>
              <w:start w:w="90" w:type="dxa"/>
              <w:bottom w:w="70" w:type="dxa"/>
              <w:end w:w="90" w:type="dxa"/>
            </w:tcMar>
          </w:tcPr>
          <w:p>
            <w:pPr>
              <w:jc w:val="left"/>
            </w:pPr>
            <w:r>
              <w:rPr>
                <w:rFonts w:ascii="Arial" w:hAnsi="Arial"/>
                <w:b/>
                <w:color w:val="FFFFFF"/>
                <w:sz w:val="17"/>
              </w:rPr>
              <w:t>Required simulation behavior</w:t>
            </w:r>
          </w:p>
        </w:tc>
      </w:tr>
      <w:tr>
        <w:tc>
          <w:tcPr>
            <w:tcW w:type="dxa" w:w="2880"/>
            <w:vAlign w:val="top"/>
            <w:tcMar>
              <w:top w:w="70" w:type="dxa"/>
              <w:start w:w="90" w:type="dxa"/>
              <w:bottom w:w="70" w:type="dxa"/>
              <w:end w:w="90" w:type="dxa"/>
            </w:tcMar>
          </w:tcPr>
          <w:p>
            <w:pPr>
              <w:spacing w:after="0"/>
            </w:pPr>
            <w:r>
              <w:rPr>
                <w:rFonts w:ascii="Arial" w:hAnsi="Arial"/>
                <w:sz w:val="17"/>
              </w:rPr>
              <w:t>No transitive team access</w:t>
            </w:r>
          </w:p>
        </w:tc>
        <w:tc>
          <w:tcPr>
            <w:tcW w:type="dxa" w:w="7056"/>
            <w:vAlign w:val="top"/>
            <w:tcMar>
              <w:top w:w="70" w:type="dxa"/>
              <w:start w:w="90" w:type="dxa"/>
              <w:bottom w:w="70" w:type="dxa"/>
              <w:end w:w="90" w:type="dxa"/>
            </w:tcMar>
          </w:tcPr>
          <w:p>
            <w:pPr>
              <w:spacing w:after="0"/>
            </w:pPr>
            <w:r>
              <w:rPr>
                <w:rFonts w:ascii="Arial" w:hAnsi="Arial"/>
                <w:sz w:val="17"/>
              </w:rPr>
              <w:t>Working in Team A and Team B does not let either team automatically read the other team’s private files, conversations or project details.</w:t>
            </w:r>
          </w:p>
        </w:tc>
      </w:tr>
      <w:tr>
        <w:tc>
          <w:tcPr>
            <w:tcW w:type="dxa" w:w="2880"/>
            <w:vAlign w:val="top"/>
            <w:tcMar>
              <w:top w:w="70" w:type="dxa"/>
              <w:start w:w="90" w:type="dxa"/>
              <w:bottom w:w="70" w:type="dxa"/>
              <w:end w:w="90" w:type="dxa"/>
            </w:tcMar>
            <w:shd w:fill="F6F8FA"/>
          </w:tcPr>
          <w:p>
            <w:pPr>
              <w:spacing w:after="0"/>
            </w:pPr>
            <w:r>
              <w:rPr>
                <w:rFonts w:ascii="Arial" w:hAnsi="Arial"/>
                <w:sz w:val="17"/>
              </w:rPr>
              <w:t>Scope-specific grants</w:t>
            </w:r>
          </w:p>
        </w:tc>
        <w:tc>
          <w:tcPr>
            <w:tcW w:type="dxa" w:w="7056"/>
            <w:vAlign w:val="top"/>
            <w:tcMar>
              <w:top w:w="70" w:type="dxa"/>
              <w:start w:w="90" w:type="dxa"/>
              <w:bottom w:w="70" w:type="dxa"/>
              <w:end w:w="90" w:type="dxa"/>
            </w:tcMar>
            <w:shd w:fill="F6F8FA"/>
          </w:tcPr>
          <w:p>
            <w:pPr>
              <w:spacing w:after="0"/>
            </w:pPr>
            <w:r>
              <w:rPr>
                <w:rFonts w:ascii="Arial" w:hAnsi="Arial"/>
                <w:sz w:val="17"/>
              </w:rPr>
              <w:t>Project, task and source/file access are independently grantable.</w:t>
            </w:r>
          </w:p>
        </w:tc>
      </w:tr>
      <w:tr>
        <w:tc>
          <w:tcPr>
            <w:tcW w:type="dxa" w:w="2880"/>
            <w:vAlign w:val="top"/>
            <w:tcMar>
              <w:top w:w="70" w:type="dxa"/>
              <w:start w:w="90" w:type="dxa"/>
              <w:bottom w:w="70" w:type="dxa"/>
              <w:end w:w="90" w:type="dxa"/>
            </w:tcMar>
          </w:tcPr>
          <w:p>
            <w:pPr>
              <w:spacing w:after="0"/>
            </w:pPr>
            <w:r>
              <w:rPr>
                <w:rFonts w:ascii="Arial" w:hAnsi="Arial"/>
                <w:sz w:val="17"/>
              </w:rPr>
              <w:t>Minimum sufficient cross-team view</w:t>
            </w:r>
          </w:p>
        </w:tc>
        <w:tc>
          <w:tcPr>
            <w:tcW w:type="dxa" w:w="7056"/>
            <w:vAlign w:val="top"/>
            <w:tcMar>
              <w:top w:w="70" w:type="dxa"/>
              <w:start w:w="90" w:type="dxa"/>
              <w:bottom w:w="70" w:type="dxa"/>
              <w:end w:w="90" w:type="dxa"/>
            </w:tcMar>
          </w:tcPr>
          <w:p>
            <w:pPr>
              <w:spacing w:after="0"/>
            </w:pPr>
            <w:r>
              <w:rPr>
                <w:rFonts w:ascii="Arial" w:hAnsi="Arial"/>
                <w:sz w:val="17"/>
              </w:rPr>
              <w:t>A requesting manager may see “protected commitment 14:00–16:00” without seeing the private project title, customer or rationale.</w:t>
            </w:r>
          </w:p>
        </w:tc>
      </w:tr>
      <w:tr>
        <w:tc>
          <w:tcPr>
            <w:tcW w:type="dxa" w:w="2880"/>
            <w:vAlign w:val="top"/>
            <w:tcMar>
              <w:top w:w="70" w:type="dxa"/>
              <w:start w:w="90" w:type="dxa"/>
              <w:bottom w:w="70" w:type="dxa"/>
              <w:end w:w="90" w:type="dxa"/>
            </w:tcMar>
            <w:shd w:fill="F6F8FA"/>
          </w:tcPr>
          <w:p>
            <w:pPr>
              <w:spacing w:after="0"/>
            </w:pPr>
            <w:r>
              <w:rPr>
                <w:rFonts w:ascii="Arial" w:hAnsi="Arial"/>
                <w:sz w:val="17"/>
              </w:rPr>
              <w:t>Shared employee ≠ shared context</w:t>
            </w:r>
          </w:p>
        </w:tc>
        <w:tc>
          <w:tcPr>
            <w:tcW w:type="dxa" w:w="7056"/>
            <w:vAlign w:val="top"/>
            <w:tcMar>
              <w:top w:w="70" w:type="dxa"/>
              <w:start w:w="90" w:type="dxa"/>
              <w:bottom w:w="70" w:type="dxa"/>
              <w:end w:w="90" w:type="dxa"/>
            </w:tcMar>
            <w:shd w:fill="F6F8FA"/>
          </w:tcPr>
          <w:p>
            <w:pPr>
              <w:spacing w:after="0"/>
            </w:pPr>
            <w:r>
              <w:rPr>
                <w:rFonts w:ascii="Arial" w:hAnsi="Arial"/>
                <w:sz w:val="17"/>
              </w:rPr>
              <w:t>The employee’s capacity is company-wide; their information access and each manager’s access remain scope-specific.</w:t>
            </w:r>
          </w:p>
        </w:tc>
      </w:tr>
      <w:tr>
        <w:tc>
          <w:tcPr>
            <w:tcW w:type="dxa" w:w="2880"/>
            <w:vAlign w:val="top"/>
            <w:tcMar>
              <w:top w:w="70" w:type="dxa"/>
              <w:start w:w="90" w:type="dxa"/>
              <w:bottom w:w="70" w:type="dxa"/>
              <w:end w:w="90" w:type="dxa"/>
            </w:tcMar>
          </w:tcPr>
          <w:p>
            <w:pPr>
              <w:spacing w:after="0"/>
            </w:pPr>
            <w:r>
              <w:rPr>
                <w:rFonts w:ascii="Arial" w:hAnsi="Arial"/>
                <w:sz w:val="17"/>
              </w:rPr>
              <w:t>Planner retrieval is permission-filtered</w:t>
            </w:r>
          </w:p>
        </w:tc>
        <w:tc>
          <w:tcPr>
            <w:tcW w:type="dxa" w:w="7056"/>
            <w:vAlign w:val="top"/>
            <w:tcMar>
              <w:top w:w="70" w:type="dxa"/>
              <w:start w:w="90" w:type="dxa"/>
              <w:bottom w:w="70" w:type="dxa"/>
              <w:end w:w="90" w:type="dxa"/>
            </w:tcMar>
          </w:tcPr>
          <w:p>
            <w:pPr>
              <w:spacing w:after="0"/>
            </w:pPr>
            <w:r>
              <w:rPr>
                <w:rFonts w:ascii="Arial" w:hAnsi="Arial"/>
                <w:sz w:val="17"/>
              </w:rPr>
              <w:t>Do not retrieve everything and ask the model to hide it. Unauthorized content is excluded before model invocation.</w:t>
            </w:r>
          </w:p>
        </w:tc>
      </w:tr>
      <w:tr>
        <w:tc>
          <w:tcPr>
            <w:tcW w:type="dxa" w:w="2880"/>
            <w:vAlign w:val="top"/>
            <w:tcMar>
              <w:top w:w="70" w:type="dxa"/>
              <w:start w:w="90" w:type="dxa"/>
              <w:bottom w:w="70" w:type="dxa"/>
              <w:end w:w="90" w:type="dxa"/>
            </w:tcMar>
            <w:shd w:fill="F6F8FA"/>
          </w:tcPr>
          <w:p>
            <w:pPr>
              <w:spacing w:after="0"/>
            </w:pPr>
            <w:r>
              <w:rPr>
                <w:rFonts w:ascii="Arial" w:hAnsi="Arial"/>
                <w:sz w:val="17"/>
              </w:rPr>
              <w:t>Disclosure approval is separate</w:t>
            </w:r>
          </w:p>
        </w:tc>
        <w:tc>
          <w:tcPr>
            <w:tcW w:type="dxa" w:w="7056"/>
            <w:vAlign w:val="top"/>
            <w:tcMar>
              <w:top w:w="70" w:type="dxa"/>
              <w:start w:w="90" w:type="dxa"/>
              <w:bottom w:w="70" w:type="dxa"/>
              <w:end w:w="90" w:type="dxa"/>
            </w:tcMar>
            <w:shd w:fill="F6F8FA"/>
          </w:tcPr>
          <w:p>
            <w:pPr>
              <w:spacing w:after="0"/>
            </w:pPr>
            <w:r>
              <w:rPr>
                <w:rFonts w:ascii="Arial" w:hAnsi="Arial"/>
                <w:sz w:val="17"/>
              </w:rPr>
              <w:t>A manager-approved employee brief may disclose selected facts; schedule approval does not itself authorize disclosure.</w:t>
            </w:r>
          </w:p>
        </w:tc>
      </w:tr>
    </w:tbl>
    <w:p>
      <w:pPr>
        <w:spacing w:after="0"/>
      </w:pPr>
    </w:p>
    <w:p>
      <w:pPr>
        <w:pStyle w:val="Heading2"/>
      </w:pPr>
      <w:r>
        <w:t>Required privacy fixtures</w:t>
      </w:r>
    </w:p>
    <w:p>
      <w:pPr>
        <w:pStyle w:val="ListBullet"/>
        <w:spacing w:after="40"/>
      </w:pPr>
      <w:r>
        <w:t>At least 20 employees who belong to two or more teams.</w:t>
      </w:r>
    </w:p>
    <w:p>
      <w:pPr>
        <w:pStyle w:val="ListBullet"/>
        <w:spacing w:after="40"/>
      </w:pPr>
      <w:r>
        <w:t>At least 10 cross-team scheduling cases where the requester can use reduced capacity facts but cannot read the source project.</w:t>
      </w:r>
    </w:p>
    <w:p>
      <w:pPr>
        <w:pStyle w:val="ListBullet"/>
        <w:spacing w:after="40"/>
      </w:pPr>
      <w:r>
        <w:t>At least 5 sources revoked after an initial plan to test stale explanation/source handling.</w:t>
      </w:r>
    </w:p>
    <w:p>
      <w:pPr>
        <w:pStyle w:val="ListBullet"/>
        <w:spacing w:after="40"/>
      </w:pPr>
      <w:r>
        <w:t>At least 5 tasks where the assigned employee lacks essential context until an explicit source grant or approved brief is added.</w:t>
      </w:r>
    </w:p>
    <w:p>
      <w:pPr>
        <w:pStyle w:val="Heading1"/>
      </w:pPr>
      <w:r>
        <w:t>4. Core Synthetic Entities and Fields</w:t>
      </w:r>
    </w:p>
    <w:p>
      <w:r>
        <w:t>The exact database schema can follow the product specification; the generator must at minimum produce the following logical fields so grounding, scheduling and evaluation are testable.</w:t>
      </w:r>
    </w:p>
    <w:tbl>
      <w:tblPr>
        <w:tblStyle w:val="TableGrid"/>
        <w:tblW w:type="auto" w:w="0"/>
        <w:jc w:val="center"/>
        <w:tblLook w:firstColumn="1" w:firstRow="1" w:lastColumn="0" w:lastRow="0" w:noHBand="0" w:noVBand="1" w:val="04A0"/>
      </w:tblPr>
      <w:tblGrid>
        <w:gridCol w:w="5083"/>
        <w:gridCol w:w="5083"/>
      </w:tblGrid>
      <w:tr>
        <w:tc>
          <w:tcPr>
            <w:tcW w:type="dxa" w:w="2304"/>
            <w:shd w:fill="17354D"/>
            <w:vAlign w:val="center"/>
            <w:tcMar>
              <w:top w:w="80" w:type="dxa"/>
              <w:start w:w="90" w:type="dxa"/>
              <w:bottom w:w="80" w:type="dxa"/>
              <w:end w:w="90" w:type="dxa"/>
            </w:tcMar>
          </w:tcPr>
          <w:p>
            <w:pPr>
              <w:spacing w:after="0" w:before="0"/>
              <w:jc w:val="left"/>
            </w:pPr>
            <w:r>
              <w:rPr>
                <w:rFonts w:ascii="Arial" w:hAnsi="Arial"/>
                <w:b/>
                <w:sz w:val="17"/>
                <w:color w:val="FFFFFF"/>
              </w:rPr>
              <w:t>Entity</w:t>
            </w:r>
          </w:p>
        </w:tc>
        <w:tc>
          <w:tcPr>
            <w:tcW w:type="dxa" w:w="7632"/>
            <w:shd w:fill="17354D"/>
            <w:vAlign w:val="center"/>
            <w:tcMar>
              <w:top w:w="80" w:type="dxa"/>
              <w:start w:w="90" w:type="dxa"/>
              <w:bottom w:w="80" w:type="dxa"/>
              <w:end w:w="90" w:type="dxa"/>
            </w:tcMar>
          </w:tcPr>
          <w:p>
            <w:pPr>
              <w:spacing w:after="0" w:before="0"/>
              <w:jc w:val="left"/>
            </w:pPr>
            <w:r>
              <w:rPr>
                <w:rFonts w:ascii="Arial" w:hAnsi="Arial"/>
                <w:b/>
                <w:sz w:val="17"/>
                <w:color w:val="FFFFFF"/>
              </w:rPr>
              <w:t>Minimum generated fields</w:t>
            </w:r>
          </w:p>
        </w:tc>
      </w:tr>
      <w:tr>
        <w:tc>
          <w:tcPr>
            <w:tcW w:type="dxa" w:w="2304"/>
            <w:vAlign w:val="center"/>
            <w:tcMar>
              <w:top w:w="80" w:type="dxa"/>
              <w:start w:w="90" w:type="dxa"/>
              <w:bottom w:w="80" w:type="dxa"/>
              <w:end w:w="90" w:type="dxa"/>
            </w:tcMar>
          </w:tcPr>
          <w:p>
            <w:pPr>
              <w:spacing w:after="0" w:before="0"/>
            </w:pPr>
            <w:r>
              <w:rPr>
                <w:rFonts w:ascii="Arial" w:hAnsi="Arial"/>
                <w:sz w:val="17"/>
              </w:rPr>
              <w:t>Employee</w:t>
            </w:r>
          </w:p>
        </w:tc>
        <w:tc>
          <w:tcPr>
            <w:tcW w:type="dxa" w:w="7632"/>
            <w:vAlign w:val="center"/>
            <w:tcMar>
              <w:top w:w="80" w:type="dxa"/>
              <w:start w:w="90" w:type="dxa"/>
              <w:bottom w:w="80" w:type="dxa"/>
              <w:end w:w="90" w:type="dxa"/>
            </w:tcMar>
          </w:tcPr>
          <w:p>
            <w:pPr>
              <w:spacing w:after="0" w:before="0"/>
            </w:pPr>
            <w:r>
              <w:rPr>
                <w:rFonts w:ascii="Arial" w:hAnsi="Arial"/>
                <w:sz w:val="17"/>
              </w:rPr>
              <w:t>employee_id; team memberships; timezone; working windows; skills; confirmed qualifications; recent familiarity; preferences; active workload</w:t>
            </w:r>
          </w:p>
        </w:tc>
      </w:tr>
      <w:tr>
        <w:tc>
          <w:tcPr>
            <w:tcW w:type="dxa" w:w="2304"/>
            <w:vAlign w:val="center"/>
            <w:tcMar>
              <w:top w:w="80" w:type="dxa"/>
              <w:start w:w="90" w:type="dxa"/>
              <w:bottom w:w="80" w:type="dxa"/>
              <w:end w:w="90" w:type="dxa"/>
            </w:tcMar>
            <w:shd w:fill="F6F8FA"/>
          </w:tcPr>
          <w:p>
            <w:pPr>
              <w:spacing w:after="0" w:before="0"/>
            </w:pPr>
            <w:r>
              <w:rPr>
                <w:rFonts w:ascii="Arial" w:hAnsi="Arial"/>
                <w:sz w:val="17"/>
              </w:rPr>
              <w:t>Team</w:t>
            </w:r>
          </w:p>
        </w:tc>
        <w:tc>
          <w:tcPr>
            <w:tcW w:type="dxa" w:w="7632"/>
            <w:vAlign w:val="center"/>
            <w:tcMar>
              <w:top w:w="80" w:type="dxa"/>
              <w:start w:w="90" w:type="dxa"/>
              <w:bottom w:w="80" w:type="dxa"/>
              <w:end w:w="90" w:type="dxa"/>
            </w:tcMar>
            <w:shd w:fill="F6F8FA"/>
          </w:tcPr>
          <w:p>
            <w:pPr>
              <w:spacing w:after="0" w:before="0"/>
            </w:pPr>
            <w:r>
              <w:rPr>
                <w:rFonts w:ascii="Arial" w:hAnsi="Arial"/>
                <w:sz w:val="17"/>
              </w:rPr>
              <w:t>team_id; function; manager; visibility class; member IDs</w:t>
            </w:r>
          </w:p>
        </w:tc>
      </w:tr>
      <w:tr>
        <w:tc>
          <w:tcPr>
            <w:tcW w:type="dxa" w:w="2304"/>
            <w:vAlign w:val="center"/>
            <w:tcMar>
              <w:top w:w="80" w:type="dxa"/>
              <w:start w:w="90" w:type="dxa"/>
              <w:bottom w:w="80" w:type="dxa"/>
              <w:end w:w="90" w:type="dxa"/>
            </w:tcMar>
          </w:tcPr>
          <w:p>
            <w:pPr>
              <w:spacing w:after="0" w:before="0"/>
            </w:pPr>
            <w:r>
              <w:rPr>
                <w:rFonts w:ascii="Arial" w:hAnsi="Arial"/>
                <w:sz w:val="17"/>
              </w:rPr>
              <w:t>Project</w:t>
            </w:r>
          </w:p>
        </w:tc>
        <w:tc>
          <w:tcPr>
            <w:tcW w:type="dxa" w:w="7632"/>
            <w:vAlign w:val="center"/>
            <w:tcMar>
              <w:top w:w="80" w:type="dxa"/>
              <w:start w:w="90" w:type="dxa"/>
              <w:bottom w:w="80" w:type="dxa"/>
              <w:end w:w="90" w:type="dxa"/>
            </w:tcMar>
          </w:tcPr>
          <w:p>
            <w:pPr>
              <w:spacing w:after="0" w:before="0"/>
            </w:pPr>
            <w:r>
              <w:rPr>
                <w:rFonts w:ascii="Arial" w:hAnsi="Arial"/>
                <w:sz w:val="17"/>
              </w:rPr>
              <w:t>project_id; owning team; manager; customer/internal type; purpose; priority; requested/agreed deadline; visibility</w:t>
            </w:r>
          </w:p>
        </w:tc>
      </w:tr>
      <w:tr>
        <w:tc>
          <w:tcPr>
            <w:tcW w:type="dxa" w:w="2304"/>
            <w:vAlign w:val="center"/>
            <w:tcMar>
              <w:top w:w="80" w:type="dxa"/>
              <w:start w:w="90" w:type="dxa"/>
              <w:bottom w:w="80" w:type="dxa"/>
              <w:end w:w="90" w:type="dxa"/>
            </w:tcMar>
            <w:shd w:fill="F6F8FA"/>
          </w:tcPr>
          <w:p>
            <w:pPr>
              <w:spacing w:after="0" w:before="0"/>
            </w:pPr>
            <w:r>
              <w:rPr>
                <w:rFonts w:ascii="Arial" w:hAnsi="Arial"/>
                <w:sz w:val="17"/>
              </w:rPr>
              <w:t>Task</w:t>
            </w:r>
          </w:p>
        </w:tc>
        <w:tc>
          <w:tcPr>
            <w:tcW w:type="dxa" w:w="7632"/>
            <w:vAlign w:val="center"/>
            <w:tcMar>
              <w:top w:w="80" w:type="dxa"/>
              <w:start w:w="90" w:type="dxa"/>
              <w:bottom w:w="80" w:type="dxa"/>
              <w:end w:w="90" w:type="dxa"/>
            </w:tcMar>
            <w:shd w:fill="F6F8FA"/>
          </w:tcPr>
          <w:p>
            <w:pPr>
              <w:spacing w:after="0" w:before="0"/>
            </w:pPr>
            <w:r>
              <w:rPr>
                <w:rFonts w:ascii="Arial" w:hAnsi="Arial"/>
                <w:sz w:val="17"/>
              </w:rPr>
              <w:t>task_id; project/team; title; type; status; effort; work window; due dates; owner candidates; protected/start state; split policy</w:t>
            </w:r>
          </w:p>
        </w:tc>
      </w:tr>
      <w:tr>
        <w:tc>
          <w:tcPr>
            <w:tcW w:type="dxa" w:w="2304"/>
            <w:vAlign w:val="center"/>
            <w:tcMar>
              <w:top w:w="80" w:type="dxa"/>
              <w:start w:w="90" w:type="dxa"/>
              <w:bottom w:w="80" w:type="dxa"/>
              <w:end w:w="90" w:type="dxa"/>
            </w:tcMar>
          </w:tcPr>
          <w:p>
            <w:pPr>
              <w:spacing w:after="0" w:before="0"/>
            </w:pPr>
            <w:r>
              <w:rPr>
                <w:rFonts w:ascii="Arial" w:hAnsi="Arial"/>
                <w:sz w:val="17"/>
              </w:rPr>
              <w:t>Task requirement</w:t>
            </w:r>
          </w:p>
        </w:tc>
        <w:tc>
          <w:tcPr>
            <w:tcW w:type="dxa" w:w="7632"/>
            <w:vAlign w:val="center"/>
            <w:tcMar>
              <w:top w:w="80" w:type="dxa"/>
              <w:start w:w="90" w:type="dxa"/>
              <w:bottom w:w="80" w:type="dxa"/>
              <w:end w:w="90" w:type="dxa"/>
            </w:tcMar>
          </w:tcPr>
          <w:p>
            <w:pPr>
              <w:spacing w:after="0" w:before="0"/>
            </w:pPr>
            <w:r>
              <w:rPr>
                <w:rFonts w:ascii="Arial" w:hAnsi="Arial"/>
                <w:sz w:val="17"/>
              </w:rPr>
              <w:t>required skill/qualification; hard vs preferred; permission; reviewer; resource; evidence/source; authority</w:t>
            </w:r>
          </w:p>
        </w:tc>
      </w:tr>
      <w:tr>
        <w:tc>
          <w:tcPr>
            <w:tcW w:type="dxa" w:w="2304"/>
            <w:vAlign w:val="center"/>
            <w:tcMar>
              <w:top w:w="80" w:type="dxa"/>
              <w:start w:w="90" w:type="dxa"/>
              <w:bottom w:w="80" w:type="dxa"/>
              <w:end w:w="90" w:type="dxa"/>
            </w:tcMar>
            <w:shd w:fill="F6F8FA"/>
          </w:tcPr>
          <w:p>
            <w:pPr>
              <w:spacing w:after="0" w:before="0"/>
            </w:pPr>
            <w:r>
              <w:rPr>
                <w:rFonts w:ascii="Arial" w:hAnsi="Arial"/>
                <w:sz w:val="17"/>
              </w:rPr>
              <w:t>Dependency</w:t>
            </w:r>
          </w:p>
        </w:tc>
        <w:tc>
          <w:tcPr>
            <w:tcW w:type="dxa" w:w="7632"/>
            <w:vAlign w:val="center"/>
            <w:tcMar>
              <w:top w:w="80" w:type="dxa"/>
              <w:start w:w="90" w:type="dxa"/>
              <w:bottom w:w="80" w:type="dxa"/>
              <w:end w:w="90" w:type="dxa"/>
            </w:tcMar>
            <w:shd w:fill="F6F8FA"/>
          </w:tcPr>
          <w:p>
            <w:pPr>
              <w:spacing w:after="0" w:before="0"/>
            </w:pPr>
            <w:r>
              <w:rPr>
                <w:rFonts w:ascii="Arial" w:hAnsi="Arial"/>
                <w:sz w:val="17"/>
              </w:rPr>
              <w:t>predecessor; successor; type; lag; acceptance-required flag</w:t>
            </w:r>
          </w:p>
        </w:tc>
      </w:tr>
      <w:tr>
        <w:tc>
          <w:tcPr>
            <w:tcW w:type="dxa" w:w="2304"/>
            <w:vAlign w:val="center"/>
            <w:tcMar>
              <w:top w:w="80" w:type="dxa"/>
              <w:start w:w="90" w:type="dxa"/>
              <w:bottom w:w="80" w:type="dxa"/>
              <w:end w:w="90" w:type="dxa"/>
            </w:tcMar>
          </w:tcPr>
          <w:p>
            <w:pPr>
              <w:spacing w:after="0" w:before="0"/>
            </w:pPr>
            <w:r>
              <w:rPr>
                <w:rFonts w:ascii="Arial" w:hAnsi="Arial"/>
                <w:sz w:val="17"/>
              </w:rPr>
              <w:t>Calendar/availability</w:t>
            </w:r>
          </w:p>
        </w:tc>
        <w:tc>
          <w:tcPr>
            <w:tcW w:type="dxa" w:w="7632"/>
            <w:vAlign w:val="center"/>
            <w:tcMar>
              <w:top w:w="80" w:type="dxa"/>
              <w:start w:w="90" w:type="dxa"/>
              <w:bottom w:w="80" w:type="dxa"/>
              <w:end w:w="90" w:type="dxa"/>
            </w:tcMar>
          </w:tcPr>
          <w:p>
            <w:pPr>
              <w:spacing w:after="0" w:before="0"/>
            </w:pPr>
            <w:r>
              <w:rPr>
                <w:rFonts w:ascii="Arial" w:hAnsi="Arial"/>
                <w:sz w:val="17"/>
              </w:rPr>
              <w:t>employee; start/end; fixed vs flexible; opaque origin; source version; freshness</w:t>
            </w:r>
          </w:p>
        </w:tc>
      </w:tr>
      <w:tr>
        <w:tc>
          <w:tcPr>
            <w:tcW w:type="dxa" w:w="2304"/>
            <w:vAlign w:val="center"/>
            <w:tcMar>
              <w:top w:w="80" w:type="dxa"/>
              <w:start w:w="90" w:type="dxa"/>
              <w:bottom w:w="80" w:type="dxa"/>
              <w:end w:w="90" w:type="dxa"/>
            </w:tcMar>
            <w:shd w:fill="F6F8FA"/>
          </w:tcPr>
          <w:p>
            <w:pPr>
              <w:spacing w:after="0" w:before="0"/>
            </w:pPr>
            <w:r>
              <w:rPr>
                <w:rFonts w:ascii="Arial" w:hAnsi="Arial"/>
                <w:sz w:val="17"/>
              </w:rPr>
              <w:t>Source</w:t>
            </w:r>
          </w:p>
        </w:tc>
        <w:tc>
          <w:tcPr>
            <w:tcW w:type="dxa" w:w="7632"/>
            <w:vAlign w:val="center"/>
            <w:tcMar>
              <w:top w:w="80" w:type="dxa"/>
              <w:start w:w="90" w:type="dxa"/>
              <w:bottom w:w="80" w:type="dxa"/>
              <w:end w:w="90" w:type="dxa"/>
            </w:tcMar>
            <w:shd w:fill="F6F8FA"/>
          </w:tcPr>
          <w:p>
            <w:pPr>
              <w:spacing w:after="0" w:before="0"/>
            </w:pPr>
            <w:r>
              <w:rPr>
                <w:rFonts w:ascii="Arial" w:hAnsi="Arial"/>
                <w:sz w:val="17"/>
              </w:rPr>
              <w:t>source_id/version; type; authoritative-for; access scope; content/excerpt; timestamp; stale/revoked state</w:t>
            </w:r>
          </w:p>
        </w:tc>
      </w:tr>
      <w:tr>
        <w:tc>
          <w:tcPr>
            <w:tcW w:type="dxa" w:w="2304"/>
            <w:vAlign w:val="center"/>
            <w:tcMar>
              <w:top w:w="80" w:type="dxa"/>
              <w:start w:w="90" w:type="dxa"/>
              <w:bottom w:w="80" w:type="dxa"/>
              <w:end w:w="90" w:type="dxa"/>
            </w:tcMar>
          </w:tcPr>
          <w:p>
            <w:pPr>
              <w:spacing w:after="0" w:before="0"/>
            </w:pPr>
            <w:r>
              <w:rPr>
                <w:rFonts w:ascii="Arial" w:hAnsi="Arial"/>
                <w:sz w:val="17"/>
              </w:rPr>
              <w:t>Access grant</w:t>
            </w:r>
          </w:p>
        </w:tc>
        <w:tc>
          <w:tcPr>
            <w:tcW w:type="dxa" w:w="7632"/>
            <w:vAlign w:val="center"/>
            <w:tcMar>
              <w:top w:w="80" w:type="dxa"/>
              <w:start w:w="90" w:type="dxa"/>
              <w:bottom w:w="80" w:type="dxa"/>
              <w:end w:w="90" w:type="dxa"/>
            </w:tcMar>
          </w:tcPr>
          <w:p>
            <w:pPr>
              <w:spacing w:after="0" w:before="0"/>
            </w:pPr>
            <w:r>
              <w:rPr>
                <w:rFonts w:ascii="Arial" w:hAnsi="Arial"/>
                <w:sz w:val="17"/>
              </w:rPr>
              <w:t>principal; scope type/id; read/contribute/review/share action; expiry</w:t>
            </w:r>
          </w:p>
        </w:tc>
      </w:tr>
      <w:tr>
        <w:tc>
          <w:tcPr>
            <w:tcW w:type="dxa" w:w="2304"/>
            <w:vAlign w:val="center"/>
            <w:tcMar>
              <w:top w:w="80" w:type="dxa"/>
              <w:start w:w="90" w:type="dxa"/>
              <w:bottom w:w="80" w:type="dxa"/>
              <w:end w:w="90" w:type="dxa"/>
            </w:tcMar>
            <w:shd w:fill="F6F8FA"/>
          </w:tcPr>
          <w:p>
            <w:pPr>
              <w:spacing w:after="0" w:before="0"/>
            </w:pPr>
            <w:r>
              <w:rPr>
                <w:rFonts w:ascii="Arial" w:hAnsi="Arial"/>
                <w:sz w:val="17"/>
              </w:rPr>
              <w:t>Priority policy</w:t>
            </w:r>
          </w:p>
        </w:tc>
        <w:tc>
          <w:tcPr>
            <w:tcW w:type="dxa" w:w="7632"/>
            <w:vAlign w:val="center"/>
            <w:tcMar>
              <w:top w:w="80" w:type="dxa"/>
              <w:start w:w="90" w:type="dxa"/>
              <w:bottom w:w="80" w:type="dxa"/>
              <w:end w:w="90" w:type="dxa"/>
            </w:tcMar>
            <w:shd w:fill="F6F8FA"/>
          </w:tcPr>
          <w:p>
            <w:pPr>
              <w:spacing w:after="0" w:before="0"/>
            </w:pPr>
            <w:r>
              <w:rPr>
                <w:rFonts w:ascii="Arial" w:hAnsi="Arial"/>
                <w:sz w:val="17"/>
              </w:rPr>
              <w:t>rank; inheritance; tie-breakers; displacement authority; started-work protections</w:t>
            </w:r>
          </w:p>
        </w:tc>
      </w:tr>
      <w:tr>
        <w:tc>
          <w:tcPr>
            <w:tcW w:type="dxa" w:w="5083"/>
            <w:vAlign w:val="center"/>
            <w:tcMar>
              <w:top w:w="80" w:type="dxa"/>
              <w:start w:w="90" w:type="dxa"/>
              <w:bottom w:w="80" w:type="dxa"/>
              <w:end w:w="90" w:type="dxa"/>
            </w:tcMar>
          </w:tcPr>
          <w:p>
            <w:pPr>
              <w:spacing w:after="0" w:before="0"/>
            </w:pPr>
            <w:r>
              <w:rPr>
                <w:sz w:val="17"/>
              </w:rPr>
              <w:t>Coordination/reporting relationship</w:t>
            </w:r>
          </w:p>
        </w:tc>
        <w:tc>
          <w:tcPr>
            <w:tcW w:type="dxa" w:w="5083"/>
            <w:vAlign w:val="center"/>
            <w:tcMar>
              <w:top w:w="80" w:type="dxa"/>
              <w:start w:w="90" w:type="dxa"/>
              <w:bottom w:w="80" w:type="dxa"/>
              <w:end w:w="90" w:type="dxa"/>
            </w:tcMar>
          </w:tcPr>
          <w:p>
            <w:pPr>
              <w:spacing w:after="0" w:before="0"/>
            </w:pPr>
            <w:r>
              <w:rPr>
                <w:sz w:val="17"/>
              </w:rPr>
              <w:t>manager/report; team lead/member; project lead/contributor; escalation owner; relationship scope. Used to simulate naive relay chains and count coordination hops; it does not itself grant source access.</w:t>
            </w:r>
          </w:p>
        </w:tc>
      </w:tr>
    </w:tbl>
    <w:p>
      <w:pPr>
        <w:spacing w:after="0"/>
      </w:pPr>
    </w:p>
    <w:p>
      <w:pPr>
        <w:pStyle w:val="Heading1"/>
      </w:pPr>
      <w:r>
        <w:t>5. Workflow / Project Templates</w:t>
      </w:r>
    </w:p>
    <w:p>
      <w:r>
        <w:t>Do not generate 8,000 unrelated random tasks. Instantiate a small library of coherent workflow templates, then vary people, effort, deadlines, dependencies, permissions and priorities. Keep this section because the generator needs coherent background work and realistic dependency structures, but do not build a separate demo flow for every template. The two main demo changes should reuse these templates; the remaining templates exist to populate the company and create benchmark variation.</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vAlign w:val="center"/>
            <w:tcMar>
              <w:top w:w="70" w:type="dxa"/>
              <w:start w:w="90" w:type="dxa"/>
              <w:bottom w:w="70" w:type="dxa"/>
              <w:end w:w="90" w:type="dxa"/>
            </w:tcMar>
          </w:tcPr>
          <w:p>
            <w:pPr>
              <w:jc w:val="left"/>
            </w:pPr>
            <w:r>
              <w:rPr>
                <w:rFonts w:ascii="Arial" w:hAnsi="Arial"/>
                <w:b/>
                <w:color w:val="FFFFFF"/>
                <w:sz w:val="15"/>
              </w:rPr>
              <w:t>Template</w:t>
            </w:r>
          </w:p>
        </w:tc>
        <w:tc>
          <w:tcPr>
            <w:tcW w:type="dxa" w:w="3600"/>
            <w:shd w:fill="17365D"/>
            <w:vAlign w:val="center"/>
            <w:tcMar>
              <w:top w:w="70" w:type="dxa"/>
              <w:start w:w="90" w:type="dxa"/>
              <w:bottom w:w="70" w:type="dxa"/>
              <w:end w:w="90" w:type="dxa"/>
            </w:tcMar>
          </w:tcPr>
          <w:p>
            <w:pPr>
              <w:jc w:val="left"/>
            </w:pPr>
            <w:r>
              <w:rPr>
                <w:rFonts w:ascii="Arial" w:hAnsi="Arial"/>
                <w:b/>
                <w:color w:val="FFFFFF"/>
                <w:sz w:val="15"/>
              </w:rPr>
              <w:t>Canonical dependency pattern</w:t>
            </w:r>
          </w:p>
        </w:tc>
        <w:tc>
          <w:tcPr>
            <w:tcW w:type="dxa" w:w="4176"/>
            <w:shd w:fill="17365D"/>
            <w:vAlign w:val="center"/>
            <w:tcMar>
              <w:top w:w="70" w:type="dxa"/>
              <w:start w:w="90" w:type="dxa"/>
              <w:bottom w:w="70" w:type="dxa"/>
              <w:end w:w="90" w:type="dxa"/>
            </w:tcMar>
          </w:tcPr>
          <w:p>
            <w:pPr>
              <w:jc w:val="left"/>
            </w:pPr>
            <w:r>
              <w:rPr>
                <w:rFonts w:ascii="Arial" w:hAnsi="Arial"/>
                <w:b/>
                <w:color w:val="FFFFFF"/>
                <w:sz w:val="15"/>
              </w:rPr>
              <w:t>Example tasks</w:t>
            </w:r>
          </w:p>
        </w:tc>
      </w:tr>
      <w:tr>
        <w:tc>
          <w:tcPr>
            <w:tcW w:type="dxa" w:w="2160"/>
            <w:vAlign w:val="top"/>
            <w:tcMar>
              <w:top w:w="70" w:type="dxa"/>
              <w:start w:w="90" w:type="dxa"/>
              <w:bottom w:w="70" w:type="dxa"/>
              <w:end w:w="90" w:type="dxa"/>
            </w:tcMar>
          </w:tcPr>
          <w:p>
            <w:pPr>
              <w:spacing w:after="0"/>
            </w:pPr>
            <w:r>
              <w:rPr>
                <w:rFonts w:ascii="Arial" w:hAnsi="Arial"/>
                <w:sz w:val="15"/>
              </w:rPr>
              <w:t>Product feature</w:t>
            </w:r>
          </w:p>
        </w:tc>
        <w:tc>
          <w:tcPr>
            <w:tcW w:type="dxa" w:w="3600"/>
            <w:vAlign w:val="top"/>
            <w:tcMar>
              <w:top w:w="70" w:type="dxa"/>
              <w:start w:w="90" w:type="dxa"/>
              <w:bottom w:w="70" w:type="dxa"/>
              <w:end w:w="90" w:type="dxa"/>
            </w:tcMar>
          </w:tcPr>
          <w:p>
            <w:pPr>
              <w:spacing w:after="0"/>
            </w:pPr>
            <w:r>
              <w:rPr>
                <w:rFonts w:ascii="Arial" w:hAnsi="Arial"/>
                <w:sz w:val="15"/>
              </w:rPr>
              <w:t>Design → backend → frontend → QA → security/review → release</w:t>
            </w:r>
          </w:p>
        </w:tc>
        <w:tc>
          <w:tcPr>
            <w:tcW w:type="dxa" w:w="4176"/>
            <w:vAlign w:val="top"/>
            <w:tcMar>
              <w:top w:w="70" w:type="dxa"/>
              <w:start w:w="90" w:type="dxa"/>
              <w:bottom w:w="70" w:type="dxa"/>
              <w:end w:w="90" w:type="dxa"/>
            </w:tcMar>
          </w:tcPr>
          <w:p>
            <w:pPr>
              <w:spacing w:after="0"/>
            </w:pPr>
            <w:r>
              <w:rPr>
                <w:rFonts w:ascii="Arial" w:hAnsi="Arial"/>
                <w:sz w:val="15"/>
              </w:rPr>
              <w:t>Implement reporting API; dashboard UI; regression tests; release notes</w:t>
            </w:r>
          </w:p>
        </w:tc>
      </w:tr>
      <w:tr>
        <w:tc>
          <w:tcPr>
            <w:tcW w:type="dxa" w:w="2160"/>
            <w:vAlign w:val="top"/>
            <w:tcMar>
              <w:top w:w="70" w:type="dxa"/>
              <w:start w:w="90" w:type="dxa"/>
              <w:bottom w:w="70" w:type="dxa"/>
              <w:end w:w="90" w:type="dxa"/>
            </w:tcMar>
            <w:shd w:fill="F6F8FA"/>
          </w:tcPr>
          <w:p>
            <w:pPr>
              <w:spacing w:after="0"/>
            </w:pPr>
            <w:r>
              <w:rPr>
                <w:rFonts w:ascii="Arial" w:hAnsi="Arial"/>
                <w:sz w:val="15"/>
              </w:rPr>
              <w:t>Customer implementation</w:t>
            </w:r>
          </w:p>
        </w:tc>
        <w:tc>
          <w:tcPr>
            <w:tcW w:type="dxa" w:w="3600"/>
            <w:vAlign w:val="top"/>
            <w:tcMar>
              <w:top w:w="70" w:type="dxa"/>
              <w:start w:w="90" w:type="dxa"/>
              <w:bottom w:w="70" w:type="dxa"/>
              <w:end w:w="90" w:type="dxa"/>
            </w:tcMar>
            <w:shd w:fill="F6F8FA"/>
          </w:tcPr>
          <w:p>
            <w:pPr>
              <w:spacing w:after="0"/>
            </w:pPr>
            <w:r>
              <w:rPr>
                <w:rFonts w:ascii="Arial" w:hAnsi="Arial"/>
                <w:sz w:val="15"/>
              </w:rPr>
              <w:t>Requirements → config → integration → data migration → UAT → security → training → go-live</w:t>
            </w:r>
          </w:p>
        </w:tc>
        <w:tc>
          <w:tcPr>
            <w:tcW w:type="dxa" w:w="4176"/>
            <w:vAlign w:val="top"/>
            <w:tcMar>
              <w:top w:w="70" w:type="dxa"/>
              <w:start w:w="90" w:type="dxa"/>
              <w:bottom w:w="70" w:type="dxa"/>
              <w:end w:w="90" w:type="dxa"/>
            </w:tcMar>
            <w:shd w:fill="F6F8FA"/>
          </w:tcPr>
          <w:p>
            <w:pPr>
              <w:spacing w:after="0"/>
            </w:pPr>
            <w:r>
              <w:rPr>
                <w:rFonts w:ascii="Arial" w:hAnsi="Arial"/>
                <w:sz w:val="15"/>
              </w:rPr>
              <w:t>Map fields; build connector; import test data; run UAT; admin training</w:t>
            </w:r>
          </w:p>
        </w:tc>
      </w:tr>
      <w:tr>
        <w:tc>
          <w:tcPr>
            <w:tcW w:type="dxa" w:w="2160"/>
            <w:vAlign w:val="top"/>
            <w:tcMar>
              <w:top w:w="70" w:type="dxa"/>
              <w:start w:w="90" w:type="dxa"/>
              <w:bottom w:w="70" w:type="dxa"/>
              <w:end w:w="90" w:type="dxa"/>
            </w:tcMar>
          </w:tcPr>
          <w:p>
            <w:pPr>
              <w:spacing w:after="0"/>
            </w:pPr>
            <w:r>
              <w:rPr>
                <w:rFonts w:ascii="Arial" w:hAnsi="Arial"/>
                <w:sz w:val="15"/>
              </w:rPr>
              <w:t>Customer demo</w:t>
            </w:r>
          </w:p>
        </w:tc>
        <w:tc>
          <w:tcPr>
            <w:tcW w:type="dxa" w:w="3600"/>
            <w:vAlign w:val="top"/>
            <w:tcMar>
              <w:top w:w="70" w:type="dxa"/>
              <w:start w:w="90" w:type="dxa"/>
              <w:bottom w:w="70" w:type="dxa"/>
              <w:end w:w="90" w:type="dxa"/>
            </w:tcMar>
          </w:tcPr>
          <w:p>
            <w:pPr>
              <w:spacing w:after="0"/>
            </w:pPr>
            <w:r>
              <w:rPr>
                <w:rFonts w:ascii="Arial" w:hAnsi="Arial"/>
                <w:sz w:val="15"/>
              </w:rPr>
              <w:t>Backend/data → UI → QA → security review → demo prep</w:t>
            </w:r>
          </w:p>
        </w:tc>
        <w:tc>
          <w:tcPr>
            <w:tcW w:type="dxa" w:w="4176"/>
            <w:vAlign w:val="top"/>
            <w:tcMar>
              <w:top w:w="70" w:type="dxa"/>
              <w:start w:w="90" w:type="dxa"/>
              <w:bottom w:w="70" w:type="dxa"/>
              <w:end w:w="90" w:type="dxa"/>
            </w:tcMar>
          </w:tcPr>
          <w:p>
            <w:pPr>
              <w:spacing w:after="0"/>
            </w:pPr>
            <w:r>
              <w:rPr>
                <w:rFonts w:ascii="Arial" w:hAnsi="Arial"/>
                <w:sz w:val="15"/>
              </w:rPr>
              <w:t>Prepare demo dataset; verify permissions; rehearsal</w:t>
            </w:r>
          </w:p>
        </w:tc>
      </w:tr>
      <w:tr>
        <w:tc>
          <w:tcPr>
            <w:tcW w:type="dxa" w:w="2160"/>
            <w:vAlign w:val="top"/>
            <w:tcMar>
              <w:top w:w="70" w:type="dxa"/>
              <w:start w:w="90" w:type="dxa"/>
              <w:bottom w:w="70" w:type="dxa"/>
              <w:end w:w="90" w:type="dxa"/>
            </w:tcMar>
            <w:shd w:fill="F6F8FA"/>
          </w:tcPr>
          <w:p>
            <w:pPr>
              <w:spacing w:after="0"/>
            </w:pPr>
            <w:r>
              <w:rPr>
                <w:rFonts w:ascii="Arial" w:hAnsi="Arial"/>
                <w:sz w:val="15"/>
              </w:rPr>
              <w:t>Production incident</w:t>
            </w:r>
          </w:p>
        </w:tc>
        <w:tc>
          <w:tcPr>
            <w:tcW w:type="dxa" w:w="3600"/>
            <w:vAlign w:val="top"/>
            <w:tcMar>
              <w:top w:w="70" w:type="dxa"/>
              <w:start w:w="90" w:type="dxa"/>
              <w:bottom w:w="70" w:type="dxa"/>
              <w:end w:w="90" w:type="dxa"/>
            </w:tcMar>
            <w:shd w:fill="F6F8FA"/>
          </w:tcPr>
          <w:p>
            <w:pPr>
              <w:spacing w:after="0"/>
            </w:pPr>
            <w:r>
              <w:rPr>
                <w:rFonts w:ascii="Arial" w:hAnsi="Arial"/>
                <w:sz w:val="15"/>
              </w:rPr>
              <w:t>Triage → owner diagnosis → fix → review → deploy → postmortem</w:t>
            </w:r>
          </w:p>
        </w:tc>
        <w:tc>
          <w:tcPr>
            <w:tcW w:type="dxa" w:w="4176"/>
            <w:vAlign w:val="top"/>
            <w:tcMar>
              <w:top w:w="70" w:type="dxa"/>
              <w:start w:w="90" w:type="dxa"/>
              <w:bottom w:w="70" w:type="dxa"/>
              <w:end w:w="90" w:type="dxa"/>
            </w:tcMar>
            <w:shd w:fill="F6F8FA"/>
          </w:tcPr>
          <w:p>
            <w:pPr>
              <w:spacing w:after="0"/>
            </w:pPr>
            <w:r>
              <w:rPr>
                <w:rFonts w:ascii="Arial" w:hAnsi="Arial"/>
                <w:sz w:val="15"/>
              </w:rPr>
              <w:t>Investigate outage; patch; emergency review; status update</w:t>
            </w:r>
          </w:p>
        </w:tc>
      </w:tr>
      <w:tr>
        <w:tc>
          <w:tcPr>
            <w:tcW w:type="dxa" w:w="2160"/>
            <w:vAlign w:val="top"/>
            <w:tcMar>
              <w:top w:w="70" w:type="dxa"/>
              <w:start w:w="90" w:type="dxa"/>
              <w:bottom w:w="70" w:type="dxa"/>
              <w:end w:w="90" w:type="dxa"/>
            </w:tcMar>
          </w:tcPr>
          <w:p>
            <w:pPr>
              <w:spacing w:after="0"/>
            </w:pPr>
            <w:r>
              <w:rPr>
                <w:rFonts w:ascii="Arial" w:hAnsi="Arial"/>
                <w:sz w:val="15"/>
              </w:rPr>
              <w:t>Security review</w:t>
            </w:r>
          </w:p>
        </w:tc>
        <w:tc>
          <w:tcPr>
            <w:tcW w:type="dxa" w:w="3600"/>
            <w:vAlign w:val="top"/>
            <w:tcMar>
              <w:top w:w="70" w:type="dxa"/>
              <w:start w:w="90" w:type="dxa"/>
              <w:bottom w:w="70" w:type="dxa"/>
              <w:end w:w="90" w:type="dxa"/>
            </w:tcMar>
          </w:tcPr>
          <w:p>
            <w:pPr>
              <w:spacing w:after="0"/>
            </w:pPr>
            <w:r>
              <w:rPr>
                <w:rFonts w:ascii="Arial" w:hAnsi="Arial"/>
                <w:sz w:val="15"/>
              </w:rPr>
              <w:t>Evidence collection → architecture review → remediation → approval</w:t>
            </w:r>
          </w:p>
        </w:tc>
        <w:tc>
          <w:tcPr>
            <w:tcW w:type="dxa" w:w="4176"/>
            <w:vAlign w:val="top"/>
            <w:tcMar>
              <w:top w:w="70" w:type="dxa"/>
              <w:start w:w="90" w:type="dxa"/>
              <w:bottom w:w="70" w:type="dxa"/>
              <w:end w:w="90" w:type="dxa"/>
            </w:tcMar>
          </w:tcPr>
          <w:p>
            <w:pPr>
              <w:spacing w:after="0"/>
            </w:pPr>
            <w:r>
              <w:rPr>
                <w:rFonts w:ascii="Arial" w:hAnsi="Arial"/>
                <w:sz w:val="15"/>
              </w:rPr>
              <w:t>Threat model; access review; remediation verification</w:t>
            </w:r>
          </w:p>
        </w:tc>
      </w:tr>
      <w:tr>
        <w:tc>
          <w:tcPr>
            <w:tcW w:type="dxa" w:w="2160"/>
            <w:vAlign w:val="top"/>
            <w:tcMar>
              <w:top w:w="70" w:type="dxa"/>
              <w:start w:w="90" w:type="dxa"/>
              <w:bottom w:w="70" w:type="dxa"/>
              <w:end w:w="90" w:type="dxa"/>
            </w:tcMar>
            <w:shd w:fill="F6F8FA"/>
          </w:tcPr>
          <w:p>
            <w:pPr>
              <w:spacing w:after="0"/>
            </w:pPr>
            <w:r>
              <w:rPr>
                <w:rFonts w:ascii="Arial" w:hAnsi="Arial"/>
                <w:sz w:val="15"/>
              </w:rPr>
              <w:t>Release</w:t>
            </w:r>
          </w:p>
        </w:tc>
        <w:tc>
          <w:tcPr>
            <w:tcW w:type="dxa" w:w="3600"/>
            <w:vAlign w:val="top"/>
            <w:tcMar>
              <w:top w:w="70" w:type="dxa"/>
              <w:start w:w="90" w:type="dxa"/>
              <w:bottom w:w="70" w:type="dxa"/>
              <w:end w:w="90" w:type="dxa"/>
            </w:tcMar>
            <w:shd w:fill="F6F8FA"/>
          </w:tcPr>
          <w:p>
            <w:pPr>
              <w:spacing w:after="0"/>
            </w:pPr>
            <w:r>
              <w:rPr>
                <w:rFonts w:ascii="Arial" w:hAnsi="Arial"/>
                <w:sz w:val="15"/>
              </w:rPr>
              <w:t>Feature freeze → QA → security → release approval → deployment</w:t>
            </w:r>
          </w:p>
        </w:tc>
        <w:tc>
          <w:tcPr>
            <w:tcW w:type="dxa" w:w="4176"/>
            <w:vAlign w:val="top"/>
            <w:tcMar>
              <w:top w:w="70" w:type="dxa"/>
              <w:start w:w="90" w:type="dxa"/>
              <w:bottom w:w="70" w:type="dxa"/>
              <w:end w:w="90" w:type="dxa"/>
            </w:tcMar>
            <w:shd w:fill="F6F8FA"/>
          </w:tcPr>
          <w:p>
            <w:pPr>
              <w:spacing w:after="0"/>
            </w:pPr>
            <w:r>
              <w:rPr>
                <w:rFonts w:ascii="Arial" w:hAnsi="Arial"/>
                <w:sz w:val="15"/>
              </w:rPr>
              <w:t>Regression suite; rollback plan; production release</w:t>
            </w:r>
          </w:p>
        </w:tc>
      </w:tr>
      <w:tr>
        <w:tc>
          <w:tcPr>
            <w:tcW w:type="dxa" w:w="2160"/>
            <w:vAlign w:val="top"/>
            <w:tcMar>
              <w:top w:w="70" w:type="dxa"/>
              <w:start w:w="90" w:type="dxa"/>
              <w:bottom w:w="70" w:type="dxa"/>
              <w:end w:w="90" w:type="dxa"/>
            </w:tcMar>
          </w:tcPr>
          <w:p>
            <w:pPr>
              <w:spacing w:after="0"/>
            </w:pPr>
            <w:r>
              <w:rPr>
                <w:rFonts w:ascii="Arial" w:hAnsi="Arial"/>
                <w:sz w:val="15"/>
              </w:rPr>
              <w:t>Employee onboarding</w:t>
            </w:r>
          </w:p>
        </w:tc>
        <w:tc>
          <w:tcPr>
            <w:tcW w:type="dxa" w:w="3600"/>
            <w:vAlign w:val="top"/>
            <w:tcMar>
              <w:top w:w="70" w:type="dxa"/>
              <w:start w:w="90" w:type="dxa"/>
              <w:bottom w:w="70" w:type="dxa"/>
              <w:end w:w="90" w:type="dxa"/>
            </w:tcMar>
          </w:tcPr>
          <w:p>
            <w:pPr>
              <w:spacing w:after="0"/>
            </w:pPr>
            <w:r>
              <w:rPr>
                <w:rFonts w:ascii="Arial" w:hAnsi="Arial"/>
                <w:sz w:val="15"/>
              </w:rPr>
              <w:t>Account/device prep → orientation → security training → access approval</w:t>
            </w:r>
          </w:p>
        </w:tc>
        <w:tc>
          <w:tcPr>
            <w:tcW w:type="dxa" w:w="4176"/>
            <w:vAlign w:val="top"/>
            <w:tcMar>
              <w:top w:w="70" w:type="dxa"/>
              <w:start w:w="90" w:type="dxa"/>
              <w:bottom w:w="70" w:type="dxa"/>
              <w:end w:w="90" w:type="dxa"/>
            </w:tcMar>
          </w:tcPr>
          <w:p>
            <w:pPr>
              <w:spacing w:after="0"/>
            </w:pPr>
            <w:r>
              <w:rPr>
                <w:rFonts w:ascii="Arial" w:hAnsi="Arial"/>
                <w:sz w:val="15"/>
              </w:rPr>
              <w:t>Laptop setup; platform orientation; required security session</w:t>
            </w:r>
          </w:p>
        </w:tc>
      </w:tr>
      <w:tr>
        <w:tc>
          <w:tcPr>
            <w:tcW w:type="dxa" w:w="2160"/>
            <w:vAlign w:val="top"/>
            <w:tcMar>
              <w:top w:w="70" w:type="dxa"/>
              <w:start w:w="90" w:type="dxa"/>
              <w:bottom w:w="70" w:type="dxa"/>
              <w:end w:w="90" w:type="dxa"/>
            </w:tcMar>
            <w:shd w:fill="F6F8FA"/>
          </w:tcPr>
          <w:p>
            <w:pPr>
              <w:spacing w:after="0"/>
            </w:pPr>
            <w:r>
              <w:rPr>
                <w:rFonts w:ascii="Arial" w:hAnsi="Arial"/>
                <w:sz w:val="15"/>
              </w:rPr>
              <w:t>Internal training / policy update</w:t>
            </w:r>
          </w:p>
        </w:tc>
        <w:tc>
          <w:tcPr>
            <w:tcW w:type="dxa" w:w="3600"/>
            <w:vAlign w:val="top"/>
            <w:tcMar>
              <w:top w:w="70" w:type="dxa"/>
              <w:start w:w="90" w:type="dxa"/>
              <w:bottom w:w="70" w:type="dxa"/>
              <w:end w:w="90" w:type="dxa"/>
            </w:tcMar>
            <w:shd w:fill="F6F8FA"/>
          </w:tcPr>
          <w:p>
            <w:pPr>
              <w:spacing w:after="0"/>
            </w:pPr>
            <w:r>
              <w:rPr>
                <w:rFonts w:ascii="Arial" w:hAnsi="Arial"/>
                <w:sz w:val="15"/>
              </w:rPr>
              <w:t>Draft → review → approval → schedule → delivery</w:t>
            </w:r>
          </w:p>
        </w:tc>
        <w:tc>
          <w:tcPr>
            <w:tcW w:type="dxa" w:w="4176"/>
            <w:vAlign w:val="top"/>
            <w:tcMar>
              <w:top w:w="70" w:type="dxa"/>
              <w:start w:w="90" w:type="dxa"/>
              <w:bottom w:w="70" w:type="dxa"/>
              <w:end w:w="90" w:type="dxa"/>
            </w:tcMar>
            <w:shd w:fill="F6F8FA"/>
          </w:tcPr>
          <w:p>
            <w:pPr>
              <w:spacing w:after="0"/>
            </w:pPr>
            <w:r>
              <w:rPr>
                <w:rFonts w:ascii="Arial" w:hAnsi="Arial"/>
                <w:sz w:val="15"/>
              </w:rPr>
              <w:t>Update policy; legal review; manager training</w:t>
            </w:r>
          </w:p>
        </w:tc>
      </w:tr>
      <w:tr>
        <w:tc>
          <w:tcPr>
            <w:tcW w:type="dxa" w:w="2160"/>
            <w:vAlign w:val="top"/>
            <w:tcMar>
              <w:top w:w="70" w:type="dxa"/>
              <w:start w:w="90" w:type="dxa"/>
              <w:bottom w:w="70" w:type="dxa"/>
              <w:end w:w="90" w:type="dxa"/>
            </w:tcMar>
          </w:tcPr>
          <w:p>
            <w:pPr>
              <w:spacing w:after="0"/>
            </w:pPr>
            <w:r>
              <w:rPr>
                <w:rFonts w:ascii="Arial" w:hAnsi="Arial"/>
                <w:sz w:val="15"/>
              </w:rPr>
              <w:t>Data migration</w:t>
            </w:r>
          </w:p>
        </w:tc>
        <w:tc>
          <w:tcPr>
            <w:tcW w:type="dxa" w:w="3600"/>
            <w:vAlign w:val="top"/>
            <w:tcMar>
              <w:top w:w="70" w:type="dxa"/>
              <w:start w:w="90" w:type="dxa"/>
              <w:bottom w:w="70" w:type="dxa"/>
              <w:end w:w="90" w:type="dxa"/>
            </w:tcMar>
          </w:tcPr>
          <w:p>
            <w:pPr>
              <w:spacing w:after="0"/>
            </w:pPr>
            <w:r>
              <w:rPr>
                <w:rFonts w:ascii="Arial" w:hAnsi="Arial"/>
                <w:sz w:val="15"/>
              </w:rPr>
              <w:t>Mapping → extraction → test import → reconciliation → approval → production import</w:t>
            </w:r>
          </w:p>
        </w:tc>
        <w:tc>
          <w:tcPr>
            <w:tcW w:type="dxa" w:w="4176"/>
            <w:vAlign w:val="top"/>
            <w:tcMar>
              <w:top w:w="70" w:type="dxa"/>
              <w:start w:w="90" w:type="dxa"/>
              <w:bottom w:w="70" w:type="dxa"/>
              <w:end w:w="90" w:type="dxa"/>
            </w:tcMar>
          </w:tcPr>
          <w:p>
            <w:pPr>
              <w:spacing w:after="0"/>
            </w:pPr>
            <w:r>
              <w:rPr>
                <w:rFonts w:ascii="Arial" w:hAnsi="Arial"/>
                <w:sz w:val="15"/>
              </w:rPr>
              <w:t>Schema mapping; discrepancy resolution</w:t>
            </w:r>
          </w:p>
        </w:tc>
      </w:tr>
      <w:tr>
        <w:tc>
          <w:tcPr>
            <w:tcW w:type="dxa" w:w="2160"/>
            <w:vAlign w:val="top"/>
            <w:tcMar>
              <w:top w:w="70" w:type="dxa"/>
              <w:start w:w="90" w:type="dxa"/>
              <w:bottom w:w="70" w:type="dxa"/>
              <w:end w:w="90" w:type="dxa"/>
            </w:tcMar>
            <w:shd w:fill="F6F8FA"/>
          </w:tcPr>
          <w:p>
            <w:pPr>
              <w:spacing w:after="0"/>
            </w:pPr>
            <w:r>
              <w:rPr>
                <w:rFonts w:ascii="Arial" w:hAnsi="Arial"/>
                <w:sz w:val="15"/>
              </w:rPr>
              <w:t>Customer escalation</w:t>
            </w:r>
          </w:p>
        </w:tc>
        <w:tc>
          <w:tcPr>
            <w:tcW w:type="dxa" w:w="3600"/>
            <w:vAlign w:val="top"/>
            <w:tcMar>
              <w:top w:w="70" w:type="dxa"/>
              <w:start w:w="90" w:type="dxa"/>
              <w:bottom w:w="70" w:type="dxa"/>
              <w:end w:w="90" w:type="dxa"/>
            </w:tcMar>
            <w:shd w:fill="F6F8FA"/>
          </w:tcPr>
          <w:p>
            <w:pPr>
              <w:spacing w:after="0"/>
            </w:pPr>
            <w:r>
              <w:rPr>
                <w:rFonts w:ascii="Arial" w:hAnsi="Arial"/>
                <w:sz w:val="15"/>
              </w:rPr>
              <w:t>Triage → specialist assignment → fix/answer → customer review → closure</w:t>
            </w:r>
          </w:p>
        </w:tc>
        <w:tc>
          <w:tcPr>
            <w:tcW w:type="dxa" w:w="4176"/>
            <w:vAlign w:val="top"/>
            <w:tcMar>
              <w:top w:w="70" w:type="dxa"/>
              <w:start w:w="90" w:type="dxa"/>
              <w:bottom w:w="70" w:type="dxa"/>
              <w:end w:w="90" w:type="dxa"/>
            </w:tcMar>
            <w:shd w:fill="F6F8FA"/>
          </w:tcPr>
          <w:p>
            <w:pPr>
              <w:spacing w:after="0"/>
            </w:pPr>
            <w:r>
              <w:rPr>
                <w:rFonts w:ascii="Arial" w:hAnsi="Arial"/>
                <w:sz w:val="15"/>
              </w:rPr>
              <w:t>Critical defect; integration issue; workaround validation</w:t>
            </w:r>
          </w:p>
        </w:tc>
      </w:tr>
    </w:tbl>
    <w:p>
      <w:pPr>
        <w:spacing w:after="0"/>
      </w:pPr>
    </w:p>
    <w:p>
      <w:pPr>
        <w:pStyle w:val="Heading2"/>
      </w:pPr>
      <w:r>
        <w:t>5.1 Task attributes to vary</w:t>
      </w:r>
    </w:p>
    <w:p>
      <w:pPr>
        <w:pStyle w:val="ListBullet"/>
        <w:spacing w:after="40"/>
      </w:pPr>
      <w:r>
        <w:t>Effort: 15 minutes to multiple working days; most tasks should be 30 minutes–8 hours of active effort.</w:t>
      </w:r>
    </w:p>
    <w:p>
      <w:pPr>
        <w:pStyle w:val="ListBullet"/>
        <w:spacing w:after="40"/>
      </w:pPr>
      <w:r>
        <w:t>Timing: fixed meeting; flexible active work window; passive waiting/review lag.</w:t>
      </w:r>
    </w:p>
    <w:p>
      <w:pPr>
        <w:pStyle w:val="ListBullet"/>
        <w:spacing w:after="40"/>
      </w:pPr>
      <w:r>
        <w:t>Dependencies: finish-to-start, review/acceptance gate, shared resource, same-person continuity preference.</w:t>
      </w:r>
    </w:p>
    <w:p>
      <w:pPr>
        <w:pStyle w:val="ListBullet"/>
        <w:spacing w:after="40"/>
      </w:pPr>
      <w:r>
        <w:t>Requirements: hard skill/qualification, preferred familiarity, source access, reviewer separation of duties, tool/resource need.</w:t>
      </w:r>
    </w:p>
    <w:p>
      <w:pPr>
        <w:pStyle w:val="ListBullet"/>
        <w:spacing w:after="40"/>
      </w:pPr>
      <w:r>
        <w:t>Priority: critical/high/normal/low with explicit policy; priority does not automatically authorize moving another commitment.</w:t>
      </w:r>
    </w:p>
    <w:p>
      <w:pPr>
        <w:pStyle w:val="ListBullet"/>
        <w:spacing w:after="40"/>
      </w:pPr>
      <w:r>
        <w:t>Protection: started work locked by default; some unstarted commitments movable only within an approved window.</w:t>
      </w:r>
    </w:p>
    <w:p>
      <w:pPr>
        <w:pStyle w:val="ListBullet"/>
        <w:spacing w:after="40"/>
      </w:pPr>
      <w:r>
        <w:t>Visibility: public-to-team, project-restricted, HR-sensitive, customer-confidential, or opaque capacity-only across teams.</w:t>
      </w:r>
    </w:p>
    <w:p>
      <w:pPr>
        <w:pStyle w:val="Heading1"/>
      </w:pPr>
      <w:r>
        <w:t>6. Change / Event Library</w:t>
      </w:r>
    </w:p>
    <w:p>
      <w:r>
        <w:t>The product is evaluated on changes to an existing plan, not on creating a clean schedule from scratch. Keep this event library as generator context so the synthetic company contains varied, replayable disturbances, but only two events are required in the main demo: Change A (deadline pull-in) and Change B (critical priority escalation). The remaining events are supporting benchmark/edge cases; do not build bespoke UI flows for each one.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Mar>
              <w:top w:w="70" w:type="dxa"/>
              <w:start w:w="90" w:type="dxa"/>
              <w:bottom w:w="70" w:type="dxa"/>
              <w:end w:w="90" w:type="dxa"/>
            </w:tcMar>
          </w:tcPr>
          <w:p>
            <w:pPr>
              <w:jc w:val="left"/>
            </w:pPr>
            <w:r>
              <w:rPr>
                <w:rFonts w:ascii="Arial" w:hAnsi="Arial"/>
                <w:b/>
                <w:color w:val="FFFFFF"/>
                <w:sz w:val="15"/>
              </w:rPr>
              <w:t>Event family</w:t>
            </w:r>
          </w:p>
        </w:tc>
        <w:tc>
          <w:tcPr>
            <w:tcW w:type="dxa" w:w="3672"/>
            <w:shd w:fill="17365D"/>
            <w:vAlign w:val="center"/>
            <w:tcMar>
              <w:top w:w="70" w:type="dxa"/>
              <w:start w:w="90" w:type="dxa"/>
              <w:bottom w:w="70" w:type="dxa"/>
              <w:end w:w="90" w:type="dxa"/>
            </w:tcMar>
          </w:tcPr>
          <w:p>
            <w:pPr>
              <w:jc w:val="left"/>
            </w:pPr>
            <w:r>
              <w:rPr>
                <w:rFonts w:ascii="Arial" w:hAnsi="Arial"/>
                <w:b/>
                <w:color w:val="FFFFFF"/>
                <w:sz w:val="15"/>
              </w:rPr>
              <w:t>Example injection</w:t>
            </w:r>
          </w:p>
        </w:tc>
        <w:tc>
          <w:tcPr>
            <w:tcW w:type="dxa" w:w="4176"/>
            <w:shd w:fill="17365D"/>
            <w:vAlign w:val="center"/>
            <w:tcMar>
              <w:top w:w="70" w:type="dxa"/>
              <w:start w:w="90" w:type="dxa"/>
              <w:bottom w:w="70" w:type="dxa"/>
              <w:end w:w="90" w:type="dxa"/>
            </w:tcMar>
          </w:tcPr>
          <w:p>
            <w:pPr>
              <w:jc w:val="left"/>
            </w:pPr>
            <w:r>
              <w:rPr>
                <w:rFonts w:ascii="Arial" w:hAnsi="Arial"/>
                <w:b/>
                <w:color w:val="FFFFFF"/>
                <w:sz w:val="15"/>
              </w:rPr>
              <w:t>What it should test</w:t>
            </w:r>
          </w:p>
        </w:tc>
      </w:tr>
      <w:tr>
        <w:tc>
          <w:tcPr>
            <w:tcW w:type="dxa" w:w="2088"/>
            <w:vAlign w:val="top"/>
            <w:tcMar>
              <w:top w:w="70" w:type="dxa"/>
              <w:start w:w="90" w:type="dxa"/>
              <w:bottom w:w="70" w:type="dxa"/>
              <w:end w:w="90" w:type="dxa"/>
            </w:tcMar>
          </w:tcPr>
          <w:p>
            <w:pPr>
              <w:spacing w:after="0"/>
            </w:pPr>
            <w:r>
              <w:rPr>
                <w:rFonts w:ascii="Arial" w:hAnsi="Arial"/>
                <w:sz w:val="15"/>
              </w:rPr>
              <w:t>Deadline change</w:t>
            </w:r>
          </w:p>
        </w:tc>
        <w:tc>
          <w:tcPr>
            <w:tcW w:type="dxa" w:w="3672"/>
            <w:vAlign w:val="top"/>
            <w:tcMar>
              <w:top w:w="70" w:type="dxa"/>
              <w:start w:w="90" w:type="dxa"/>
              <w:bottom w:w="70" w:type="dxa"/>
              <w:end w:w="90" w:type="dxa"/>
            </w:tcMar>
          </w:tcPr>
          <w:p>
            <w:r>
              <w:t>MAIN DEMO A — Customer moves Hikari demo Friday → Wednesday</w:t>
            </w:r>
          </w:p>
        </w:tc>
        <w:tc>
          <w:tcPr>
            <w:tcW w:type="dxa" w:w="4176"/>
            <w:vAlign w:val="top"/>
            <w:tcMar>
              <w:top w:w="70" w:type="dxa"/>
              <w:start w:w="90" w:type="dxa"/>
              <w:bottom w:w="70" w:type="dxa"/>
              <w:end w:w="90" w:type="dxa"/>
            </w:tcMar>
          </w:tcPr>
          <w:p>
            <w:pPr>
              <w:spacing w:after="0"/>
            </w:pPr>
            <w:r>
              <w:rPr>
                <w:rFonts w:ascii="Arial" w:hAnsi="Arial"/>
                <w:sz w:val="15"/>
              </w:rPr>
              <w:t>Dependency closure, feasibility, minimal repair, approval</w:t>
            </w:r>
          </w:p>
        </w:tc>
      </w:tr>
      <w:tr>
        <w:tc>
          <w:tcPr>
            <w:tcW w:type="dxa" w:w="2088"/>
            <w:vAlign w:val="top"/>
            <w:tcMar>
              <w:top w:w="70" w:type="dxa"/>
              <w:start w:w="90" w:type="dxa"/>
              <w:bottom w:w="70" w:type="dxa"/>
              <w:end w:w="90" w:type="dxa"/>
            </w:tcMar>
            <w:shd w:fill="F6F8FA"/>
          </w:tcPr>
          <w:p>
            <w:pPr>
              <w:spacing w:after="0"/>
            </w:pPr>
            <w:r>
              <w:rPr>
                <w:rFonts w:ascii="Arial" w:hAnsi="Arial"/>
                <w:sz w:val="15"/>
              </w:rPr>
              <w:t>Priority change</w:t>
            </w:r>
          </w:p>
        </w:tc>
        <w:tc>
          <w:tcPr>
            <w:tcW w:type="dxa" w:w="3672"/>
            <w:vAlign w:val="top"/>
            <w:tcMar>
              <w:top w:w="70" w:type="dxa"/>
              <w:start w:w="90" w:type="dxa"/>
              <w:bottom w:w="70" w:type="dxa"/>
              <w:end w:w="90" w:type="dxa"/>
            </w:tcMar>
            <w:shd w:fill="F6F8FA"/>
          </w:tcPr>
          <w:p>
            <w:r>
              <w:t>MAIN DEMO B — Sev-1 production incident is authoritatively raised to Critical priority</w:t>
            </w:r>
          </w:p>
        </w:tc>
        <w:tc>
          <w:tcPr>
            <w:tcW w:type="dxa" w:w="4176"/>
            <w:vAlign w:val="top"/>
            <w:tcMar>
              <w:top w:w="70" w:type="dxa"/>
              <w:start w:w="90" w:type="dxa"/>
              <w:bottom w:w="70" w:type="dxa"/>
              <w:end w:w="90" w:type="dxa"/>
            </w:tcMar>
            <w:shd w:fill="F6F8FA"/>
          </w:tcPr>
          <w:p>
            <w:pPr>
              <w:spacing w:after="0"/>
            </w:pPr>
            <w:r>
              <w:rPr>
                <w:rFonts w:ascii="Arial" w:hAnsi="Arial"/>
                <w:sz w:val="15"/>
              </w:rPr>
              <w:t>Product-wide priority and displacement policy</w:t>
            </w:r>
          </w:p>
        </w:tc>
      </w:tr>
      <w:tr>
        <w:tc>
          <w:tcPr>
            <w:tcW w:type="dxa" w:w="2088"/>
            <w:vAlign w:val="top"/>
            <w:tcMar>
              <w:top w:w="70" w:type="dxa"/>
              <w:start w:w="90" w:type="dxa"/>
              <w:bottom w:w="70" w:type="dxa"/>
              <w:end w:w="90" w:type="dxa"/>
            </w:tcMar>
          </w:tcPr>
          <w:p>
            <w:pPr>
              <w:spacing w:after="0"/>
            </w:pPr>
            <w:r>
              <w:rPr>
                <w:rFonts w:ascii="Arial" w:hAnsi="Arial"/>
                <w:sz w:val="15"/>
              </w:rPr>
              <w:t>Availability change</w:t>
            </w:r>
          </w:p>
        </w:tc>
        <w:tc>
          <w:tcPr>
            <w:tcW w:type="dxa" w:w="3672"/>
            <w:vAlign w:val="top"/>
            <w:tcMar>
              <w:top w:w="70" w:type="dxa"/>
              <w:start w:w="90" w:type="dxa"/>
              <w:bottom w:w="70" w:type="dxa"/>
              <w:end w:w="90" w:type="dxa"/>
            </w:tcMar>
          </w:tcPr>
          <w:p>
            <w:pPr>
              <w:spacing w:after="0"/>
            </w:pPr>
            <w:r>
              <w:rPr>
                <w:rFonts w:ascii="Arial" w:hAnsi="Arial"/>
                <w:sz w:val="15"/>
              </w:rPr>
              <w:t>Security specialist unavailable Tuesday afternoon</w:t>
            </w:r>
          </w:p>
        </w:tc>
        <w:tc>
          <w:tcPr>
            <w:tcW w:type="dxa" w:w="4176"/>
            <w:vAlign w:val="top"/>
            <w:tcMar>
              <w:top w:w="70" w:type="dxa"/>
              <w:start w:w="90" w:type="dxa"/>
              <w:bottom w:w="70" w:type="dxa"/>
              <w:end w:w="90" w:type="dxa"/>
            </w:tcMar>
          </w:tcPr>
          <w:p>
            <w:pPr>
              <w:spacing w:after="0"/>
            </w:pPr>
            <w:r>
              <w:rPr>
                <w:rFonts w:ascii="Arial" w:hAnsi="Arial"/>
                <w:sz w:val="15"/>
              </w:rPr>
              <w:t>Shared capacity and alternative scheduling</w:t>
            </w:r>
          </w:p>
        </w:tc>
      </w:tr>
      <w:tr>
        <w:tc>
          <w:tcPr>
            <w:tcW w:type="dxa" w:w="2088"/>
            <w:vAlign w:val="top"/>
            <w:tcMar>
              <w:top w:w="70" w:type="dxa"/>
              <w:start w:w="90" w:type="dxa"/>
              <w:bottom w:w="70" w:type="dxa"/>
              <w:end w:w="90" w:type="dxa"/>
            </w:tcMar>
            <w:shd w:fill="F6F8FA"/>
          </w:tcPr>
          <w:p>
            <w:pPr>
              <w:spacing w:after="0"/>
            </w:pPr>
            <w:r>
              <w:rPr>
                <w:rFonts w:ascii="Arial" w:hAnsi="Arial"/>
                <w:sz w:val="15"/>
              </w:rPr>
              <w:t>Task delay</w:t>
            </w:r>
          </w:p>
        </w:tc>
        <w:tc>
          <w:tcPr>
            <w:tcW w:type="dxa" w:w="3672"/>
            <w:vAlign w:val="top"/>
            <w:tcMar>
              <w:top w:w="70" w:type="dxa"/>
              <w:start w:w="90" w:type="dxa"/>
              <w:bottom w:w="70" w:type="dxa"/>
              <w:end w:w="90" w:type="dxa"/>
            </w:tcMar>
            <w:shd w:fill="F6F8FA"/>
          </w:tcPr>
          <w:p>
            <w:pPr>
              <w:spacing w:after="0"/>
            </w:pPr>
            <w:r>
              <w:rPr>
                <w:rFonts w:ascii="Arial" w:hAnsi="Arial"/>
                <w:sz w:val="15"/>
              </w:rPr>
              <w:t>Reporting API slips by 1 day</w:t>
            </w:r>
          </w:p>
        </w:tc>
        <w:tc>
          <w:tcPr>
            <w:tcW w:type="dxa" w:w="4176"/>
            <w:vAlign w:val="top"/>
            <w:tcMar>
              <w:top w:w="70" w:type="dxa"/>
              <w:start w:w="90" w:type="dxa"/>
              <w:bottom w:w="70" w:type="dxa"/>
              <w:end w:w="90" w:type="dxa"/>
            </w:tcMar>
            <w:shd w:fill="F6F8FA"/>
          </w:tcPr>
          <w:p>
            <w:pPr>
              <w:spacing w:after="0"/>
            </w:pPr>
            <w:r>
              <w:rPr>
                <w:rFonts w:ascii="Arial" w:hAnsi="Arial"/>
                <w:sz w:val="15"/>
              </w:rPr>
              <w:t>Downstream impact and forecast vs committed deadline</w:t>
            </w:r>
          </w:p>
        </w:tc>
      </w:tr>
      <w:tr>
        <w:tc>
          <w:tcPr>
            <w:tcW w:type="dxa" w:w="2088"/>
            <w:vAlign w:val="top"/>
            <w:tcMar>
              <w:top w:w="70" w:type="dxa"/>
              <w:start w:w="90" w:type="dxa"/>
              <w:bottom w:w="70" w:type="dxa"/>
              <w:end w:w="90" w:type="dxa"/>
            </w:tcMar>
          </w:tcPr>
          <w:p>
            <w:pPr>
              <w:spacing w:after="0"/>
            </w:pPr>
            <w:r>
              <w:rPr>
                <w:rFonts w:ascii="Arial" w:hAnsi="Arial"/>
                <w:sz w:val="15"/>
              </w:rPr>
              <w:t>Early completion</w:t>
            </w:r>
          </w:p>
        </w:tc>
        <w:tc>
          <w:tcPr>
            <w:tcW w:type="dxa" w:w="3672"/>
            <w:vAlign w:val="top"/>
            <w:tcMar>
              <w:top w:w="70" w:type="dxa"/>
              <w:start w:w="90" w:type="dxa"/>
              <w:bottom w:w="70" w:type="dxa"/>
              <w:end w:w="90" w:type="dxa"/>
            </w:tcMar>
          </w:tcPr>
          <w:p>
            <w:pPr>
              <w:spacing w:after="0"/>
            </w:pPr>
            <w:r>
              <w:rPr>
                <w:rFonts w:ascii="Arial" w:hAnsi="Arial"/>
                <w:sz w:val="15"/>
              </w:rPr>
              <w:t>Migration finishes early</w:t>
            </w:r>
          </w:p>
        </w:tc>
        <w:tc>
          <w:tcPr>
            <w:tcW w:type="dxa" w:w="4176"/>
            <w:vAlign w:val="top"/>
            <w:tcMar>
              <w:top w:w="70" w:type="dxa"/>
              <w:start w:w="90" w:type="dxa"/>
              <w:bottom w:w="70" w:type="dxa"/>
              <w:end w:w="90" w:type="dxa"/>
            </w:tcMar>
          </w:tcPr>
          <w:p>
            <w:pPr>
              <w:spacing w:after="0"/>
            </w:pPr>
            <w:r>
              <w:rPr>
                <w:rFonts w:ascii="Arial" w:hAnsi="Arial"/>
                <w:sz w:val="15"/>
              </w:rPr>
              <w:t>Opportunity to pull work forward without needless churn</w:t>
            </w:r>
          </w:p>
        </w:tc>
      </w:tr>
      <w:tr>
        <w:tc>
          <w:tcPr>
            <w:tcW w:type="dxa" w:w="2088"/>
            <w:vAlign w:val="top"/>
            <w:tcMar>
              <w:top w:w="70" w:type="dxa"/>
              <w:start w:w="90" w:type="dxa"/>
              <w:bottom w:w="70" w:type="dxa"/>
              <w:end w:w="90" w:type="dxa"/>
            </w:tcMar>
            <w:shd w:fill="F6F8FA"/>
          </w:tcPr>
          <w:p>
            <w:pPr>
              <w:spacing w:after="0"/>
            </w:pPr>
            <w:r>
              <w:rPr>
                <w:rFonts w:ascii="Arial" w:hAnsi="Arial"/>
                <w:sz w:val="15"/>
              </w:rPr>
              <w:t>Requirement change</w:t>
            </w:r>
          </w:p>
        </w:tc>
        <w:tc>
          <w:tcPr>
            <w:tcW w:type="dxa" w:w="3672"/>
            <w:vAlign w:val="top"/>
            <w:tcMar>
              <w:top w:w="70" w:type="dxa"/>
              <w:start w:w="90" w:type="dxa"/>
              <w:bottom w:w="70" w:type="dxa"/>
              <w:end w:w="90" w:type="dxa"/>
            </w:tcMar>
            <w:shd w:fill="F6F8FA"/>
          </w:tcPr>
          <w:p>
            <w:pPr>
              <w:spacing w:after="0"/>
            </w:pPr>
            <w:r>
              <w:rPr>
                <w:rFonts w:ascii="Arial" w:hAnsi="Arial"/>
                <w:sz w:val="15"/>
              </w:rPr>
              <w:t>Customer adds SSO/security requirement</w:t>
            </w:r>
          </w:p>
        </w:tc>
        <w:tc>
          <w:tcPr>
            <w:tcW w:type="dxa" w:w="4176"/>
            <w:vAlign w:val="top"/>
            <w:tcMar>
              <w:top w:w="70" w:type="dxa"/>
              <w:start w:w="90" w:type="dxa"/>
              <w:bottom w:w="70" w:type="dxa"/>
              <w:end w:w="90" w:type="dxa"/>
            </w:tcMar>
            <w:shd w:fill="F6F8FA"/>
          </w:tcPr>
          <w:p>
            <w:pPr>
              <w:spacing w:after="0"/>
            </w:pPr>
            <w:r>
              <w:rPr>
                <w:rFonts w:ascii="Arial" w:hAnsi="Arial"/>
                <w:sz w:val="15"/>
              </w:rPr>
              <w:t>New tasks/skills/permissions; source-grounded interpretation</w:t>
            </w:r>
          </w:p>
        </w:tc>
      </w:tr>
      <w:tr>
        <w:tc>
          <w:tcPr>
            <w:tcW w:type="dxa" w:w="2088"/>
            <w:vAlign w:val="top"/>
            <w:tcMar>
              <w:top w:w="70" w:type="dxa"/>
              <w:start w:w="90" w:type="dxa"/>
              <w:bottom w:w="70" w:type="dxa"/>
              <w:end w:w="90" w:type="dxa"/>
            </w:tcMar>
          </w:tcPr>
          <w:p>
            <w:pPr>
              <w:spacing w:after="0"/>
            </w:pPr>
            <w:r>
              <w:rPr>
                <w:rFonts w:ascii="Arial" w:hAnsi="Arial"/>
                <w:sz w:val="15"/>
              </w:rPr>
              <w:t>Review failure</w:t>
            </w:r>
          </w:p>
        </w:tc>
        <w:tc>
          <w:tcPr>
            <w:tcW w:type="dxa" w:w="3672"/>
            <w:vAlign w:val="top"/>
            <w:tcMar>
              <w:top w:w="70" w:type="dxa"/>
              <w:start w:w="90" w:type="dxa"/>
              <w:bottom w:w="70" w:type="dxa"/>
              <w:end w:w="90" w:type="dxa"/>
            </w:tcMar>
          </w:tcPr>
          <w:p>
            <w:pPr>
              <w:spacing w:after="0"/>
            </w:pPr>
            <w:r>
              <w:rPr>
                <w:rFonts w:ascii="Arial" w:hAnsi="Arial"/>
                <w:sz w:val="15"/>
              </w:rPr>
              <w:t>Security review requests remediation</w:t>
            </w:r>
          </w:p>
        </w:tc>
        <w:tc>
          <w:tcPr>
            <w:tcW w:type="dxa" w:w="4176"/>
            <w:vAlign w:val="top"/>
            <w:tcMar>
              <w:top w:w="70" w:type="dxa"/>
              <w:start w:w="90" w:type="dxa"/>
              <w:bottom w:w="70" w:type="dxa"/>
              <w:end w:w="90" w:type="dxa"/>
            </w:tcMar>
          </w:tcPr>
          <w:p>
            <w:pPr>
              <w:spacing w:after="0"/>
            </w:pPr>
            <w:r>
              <w:rPr>
                <w:rFonts w:ascii="Arial" w:hAnsi="Arial"/>
                <w:sz w:val="15"/>
              </w:rPr>
              <w:t>Rework loop and downstream acceptance gate</w:t>
            </w:r>
          </w:p>
        </w:tc>
      </w:tr>
      <w:tr>
        <w:tc>
          <w:tcPr>
            <w:tcW w:type="dxa" w:w="2088"/>
            <w:vAlign w:val="top"/>
            <w:tcMar>
              <w:top w:w="70" w:type="dxa"/>
              <w:start w:w="90" w:type="dxa"/>
              <w:bottom w:w="70" w:type="dxa"/>
              <w:end w:w="90" w:type="dxa"/>
            </w:tcMar>
            <w:shd w:fill="F6F8FA"/>
          </w:tcPr>
          <w:p>
            <w:pPr>
              <w:spacing w:after="0"/>
            </w:pPr>
            <w:r>
              <w:rPr>
                <w:rFonts w:ascii="Arial" w:hAnsi="Arial"/>
                <w:sz w:val="15"/>
              </w:rPr>
              <w:t>Permission/source change</w:t>
            </w:r>
          </w:p>
        </w:tc>
        <w:tc>
          <w:tcPr>
            <w:tcW w:type="dxa" w:w="3672"/>
            <w:vAlign w:val="top"/>
            <w:tcMar>
              <w:top w:w="70" w:type="dxa"/>
              <w:start w:w="90" w:type="dxa"/>
              <w:bottom w:w="70" w:type="dxa"/>
              <w:end w:w="90" w:type="dxa"/>
            </w:tcMar>
            <w:shd w:fill="F6F8FA"/>
          </w:tcPr>
          <w:p>
            <w:pPr>
              <w:spacing w:after="0"/>
            </w:pPr>
            <w:r>
              <w:rPr>
                <w:rFonts w:ascii="Arial" w:hAnsi="Arial"/>
                <w:sz w:val="15"/>
              </w:rPr>
              <w:t>Customer file access revoked</w:t>
            </w:r>
          </w:p>
        </w:tc>
        <w:tc>
          <w:tcPr>
            <w:tcW w:type="dxa" w:w="4176"/>
            <w:vAlign w:val="top"/>
            <w:tcMar>
              <w:top w:w="70" w:type="dxa"/>
              <w:start w:w="90" w:type="dxa"/>
              <w:bottom w:w="70" w:type="dxa"/>
              <w:end w:w="90" w:type="dxa"/>
            </w:tcMar>
            <w:shd w:fill="F6F8FA"/>
          </w:tcPr>
          <w:p>
            <w:pPr>
              <w:spacing w:after="0"/>
            </w:pPr>
            <w:r>
              <w:rPr>
                <w:rFonts w:ascii="Arial" w:hAnsi="Arial"/>
                <w:sz w:val="15"/>
              </w:rPr>
              <w:t>Stale plan/evidence; privacy-safe explanation regeneration</w:t>
            </w:r>
          </w:p>
        </w:tc>
      </w:tr>
      <w:tr>
        <w:tc>
          <w:tcPr>
            <w:tcW w:type="dxa" w:w="2088"/>
            <w:vAlign w:val="top"/>
            <w:tcMar>
              <w:top w:w="70" w:type="dxa"/>
              <w:start w:w="90" w:type="dxa"/>
              <w:bottom w:w="70" w:type="dxa"/>
              <w:end w:w="90" w:type="dxa"/>
            </w:tcMar>
          </w:tcPr>
          <w:p>
            <w:pPr>
              <w:spacing w:after="0"/>
            </w:pPr>
            <w:r>
              <w:rPr>
                <w:rFonts w:ascii="Arial" w:hAnsi="Arial"/>
                <w:sz w:val="15"/>
              </w:rPr>
              <w:t>Busy lookup failure</w:t>
            </w:r>
          </w:p>
        </w:tc>
        <w:tc>
          <w:tcPr>
            <w:tcW w:type="dxa" w:w="3672"/>
            <w:vAlign w:val="top"/>
            <w:tcMar>
              <w:top w:w="70" w:type="dxa"/>
              <w:start w:w="90" w:type="dxa"/>
              <w:bottom w:w="70" w:type="dxa"/>
              <w:end w:w="90" w:type="dxa"/>
            </w:tcMar>
          </w:tcPr>
          <w:p>
            <w:pPr>
              <w:spacing w:after="0"/>
            </w:pPr>
            <w:r>
              <w:rPr>
                <w:rFonts w:ascii="Arial" w:hAnsi="Arial"/>
                <w:sz w:val="15"/>
              </w:rPr>
              <w:t>Calendar provider unavailable</w:t>
            </w:r>
          </w:p>
        </w:tc>
        <w:tc>
          <w:tcPr>
            <w:tcW w:type="dxa" w:w="4176"/>
            <w:vAlign w:val="top"/>
            <w:tcMar>
              <w:top w:w="70" w:type="dxa"/>
              <w:start w:w="90" w:type="dxa"/>
              <w:bottom w:w="70" w:type="dxa"/>
              <w:end w:w="90" w:type="dxa"/>
            </w:tcMar>
          </w:tcPr>
          <w:p>
            <w:pPr>
              <w:spacing w:after="0"/>
            </w:pPr>
            <w:r>
              <w:rPr>
                <w:rFonts w:ascii="Arial" w:hAnsi="Arial"/>
                <w:sz w:val="15"/>
              </w:rPr>
              <w:t>Unknown ≠ free time; conservative handling</w:t>
            </w:r>
          </w:p>
        </w:tc>
      </w:tr>
      <w:tr>
        <w:tc>
          <w:tcPr>
            <w:tcW w:type="dxa" w:w="2088"/>
            <w:vAlign w:val="top"/>
            <w:tcMar>
              <w:top w:w="70" w:type="dxa"/>
              <w:start w:w="90" w:type="dxa"/>
              <w:bottom w:w="70" w:type="dxa"/>
              <w:end w:w="90" w:type="dxa"/>
            </w:tcMar>
            <w:shd w:fill="F6F8FA"/>
          </w:tcPr>
          <w:p>
            <w:pPr>
              <w:spacing w:after="0"/>
            </w:pPr>
            <w:r>
              <w:rPr>
                <w:rFonts w:ascii="Arial" w:hAnsi="Arial"/>
                <w:sz w:val="15"/>
              </w:rPr>
              <w:t>Concurrent managers</w:t>
            </w:r>
          </w:p>
        </w:tc>
        <w:tc>
          <w:tcPr>
            <w:tcW w:type="dxa" w:w="3672"/>
            <w:vAlign w:val="top"/>
            <w:tcMar>
              <w:top w:w="70" w:type="dxa"/>
              <w:start w:w="90" w:type="dxa"/>
              <w:bottom w:w="70" w:type="dxa"/>
              <w:end w:w="90" w:type="dxa"/>
            </w:tcMar>
            <w:shd w:fill="F6F8FA"/>
          </w:tcPr>
          <w:p>
            <w:pPr>
              <w:spacing w:after="0"/>
            </w:pPr>
            <w:r>
              <w:rPr>
                <w:rFonts w:ascii="Arial" w:hAnsi="Arial"/>
                <w:sz w:val="15"/>
              </w:rPr>
              <w:t>Two managers approve conflicting changes</w:t>
            </w:r>
          </w:p>
        </w:tc>
        <w:tc>
          <w:tcPr>
            <w:tcW w:type="dxa" w:w="4176"/>
            <w:vAlign w:val="top"/>
            <w:tcMar>
              <w:top w:w="70" w:type="dxa"/>
              <w:start w:w="90" w:type="dxa"/>
              <w:bottom w:w="70" w:type="dxa"/>
              <w:end w:w="90" w:type="dxa"/>
            </w:tcMar>
            <w:shd w:fill="F6F8FA"/>
          </w:tcPr>
          <w:p>
            <w:pPr>
              <w:spacing w:after="0"/>
            </w:pPr>
            <w:r>
              <w:rPr>
                <w:rFonts w:ascii="Arial" w:hAnsi="Arial"/>
                <w:sz w:val="15"/>
              </w:rPr>
              <w:t>Revision/commit safety and stale proposal rejection</w:t>
            </w:r>
          </w:p>
        </w:tc>
      </w:tr>
      <w:tr>
        <w:tc>
          <w:tcPr>
            <w:tcW w:type="dxa" w:w="2088"/>
            <w:vAlign w:val="top"/>
            <w:tcMar>
              <w:top w:w="70" w:type="dxa"/>
              <w:start w:w="90" w:type="dxa"/>
              <w:bottom w:w="70" w:type="dxa"/>
              <w:end w:w="90" w:type="dxa"/>
            </w:tcMar>
          </w:tcPr>
          <w:p>
            <w:pPr>
              <w:spacing w:after="0"/>
            </w:pPr>
            <w:r>
              <w:rPr>
                <w:rFonts w:ascii="Arial" w:hAnsi="Arial"/>
                <w:sz w:val="15"/>
              </w:rPr>
              <w:t>No-impact change</w:t>
            </w:r>
          </w:p>
        </w:tc>
        <w:tc>
          <w:tcPr>
            <w:tcW w:type="dxa" w:w="3672"/>
            <w:vAlign w:val="top"/>
            <w:tcMar>
              <w:top w:w="70" w:type="dxa"/>
              <w:start w:w="90" w:type="dxa"/>
              <w:bottom w:w="70" w:type="dxa"/>
              <w:end w:w="90" w:type="dxa"/>
            </w:tcMar>
          </w:tcPr>
          <w:p>
            <w:pPr>
              <w:spacing w:after="0"/>
            </w:pPr>
            <w:r>
              <w:rPr>
                <w:rFonts w:ascii="Arial" w:hAnsi="Arial"/>
                <w:sz w:val="15"/>
              </w:rPr>
              <w:t>Unrelated sales meeting moves</w:t>
            </w:r>
          </w:p>
        </w:tc>
        <w:tc>
          <w:tcPr>
            <w:tcW w:type="dxa" w:w="4176"/>
            <w:vAlign w:val="top"/>
            <w:tcMar>
              <w:top w:w="70" w:type="dxa"/>
              <w:start w:w="90" w:type="dxa"/>
              <w:bottom w:w="70" w:type="dxa"/>
              <w:end w:w="90" w:type="dxa"/>
            </w:tcMar>
          </w:tcPr>
          <w:p>
            <w:pPr>
              <w:spacing w:after="0"/>
            </w:pPr>
            <w:r>
              <w:rPr>
                <w:rFonts w:ascii="Arial" w:hAnsi="Arial"/>
                <w:sz w:val="15"/>
              </w:rPr>
              <w:t>Affected-subgraph precision; no unnecessary replan</w:t>
            </w:r>
          </w:p>
        </w:tc>
      </w:tr>
      <w:tr>
        <w:tc>
          <w:tcPr>
            <w:tcW w:type="dxa" w:w="2088"/>
            <w:vAlign w:val="top"/>
            <w:tcMar>
              <w:top w:w="70" w:type="dxa"/>
              <w:start w:w="90" w:type="dxa"/>
              <w:bottom w:w="70" w:type="dxa"/>
              <w:end w:w="90" w:type="dxa"/>
            </w:tcMar>
            <w:shd w:fill="F6F8FA"/>
          </w:tcPr>
          <w:p>
            <w:pPr>
              <w:spacing w:after="0"/>
            </w:pPr>
            <w:r>
              <w:rPr>
                <w:rFonts w:ascii="Arial" w:hAnsi="Arial"/>
                <w:sz w:val="15"/>
              </w:rPr>
              <w:t>Impossible request</w:t>
            </w:r>
          </w:p>
        </w:tc>
        <w:tc>
          <w:tcPr>
            <w:tcW w:type="dxa" w:w="3672"/>
            <w:vAlign w:val="top"/>
            <w:tcMar>
              <w:top w:w="70" w:type="dxa"/>
              <w:start w:w="90" w:type="dxa"/>
              <w:bottom w:w="70" w:type="dxa"/>
              <w:end w:w="90" w:type="dxa"/>
            </w:tcMar>
            <w:shd w:fill="F6F8FA"/>
          </w:tcPr>
          <w:p>
            <w:pPr>
              <w:spacing w:after="0"/>
            </w:pPr>
            <w:r>
              <w:rPr>
                <w:rFonts w:ascii="Arial" w:hAnsi="Arial"/>
                <w:sz w:val="15"/>
              </w:rPr>
              <w:t>Deadline earlier than any feasible dependency chain</w:t>
            </w:r>
          </w:p>
        </w:tc>
        <w:tc>
          <w:tcPr>
            <w:tcW w:type="dxa" w:w="4176"/>
            <w:vAlign w:val="top"/>
            <w:tcMar>
              <w:top w:w="70" w:type="dxa"/>
              <w:start w:w="90" w:type="dxa"/>
              <w:bottom w:w="70" w:type="dxa"/>
              <w:end w:w="90" w:type="dxa"/>
            </w:tcMar>
            <w:shd w:fill="F6F8FA"/>
          </w:tcPr>
          <w:p>
            <w:pPr>
              <w:spacing w:after="0"/>
            </w:pPr>
            <w:r>
              <w:rPr>
                <w:rFonts w:ascii="Arial" w:hAnsi="Arial"/>
                <w:sz w:val="15"/>
              </w:rPr>
              <w:t>UNSAT diagnosis and bounded repair options</w:t>
            </w:r>
          </w:p>
        </w:tc>
      </w:tr>
    </w:tbl>
    <w:p>
      <w:pPr>
        <w:spacing w:after="0"/>
      </w:pPr>
    </w:p>
    <w:p>
      <w:pPr>
        <w:pStyle w:val="Heading1"/>
      </w:pPr>
      <w:r>
        <w:t>7. Main Demo Scenario</w:t>
      </w:r>
    </w:p>
    <w:p>
      <w:r>
        <w:t>Use one connected story so judges can see grounding, shared capacity, privacy and minimal repair without switching companies.</w:t>
      </w:r>
    </w:p>
    <w:p>
      <w:pPr>
        <w:pStyle w:val="Heading2"/>
      </w:pPr>
      <w:r>
        <w:t>7.1 Existing state</w:t>
      </w:r>
    </w:p>
    <w:p>
      <w:r>
        <w:t>Fictional customer: Hikari Manufacturing. A customer-facing reporting demonstration is scheduled for Friday. The project already has committed owners, deadlines and reviewer requirements.</w:t>
      </w:r>
    </w:p>
    <w:p>
      <w:pPr>
        <w:pStyle w:val="CodeBlock"/>
      </w:pPr>
      <w:r>
        <w:t>Reporting API</w:t>
        <w:br/>
        <w:t xml:space="preserve">    ↓</w:t>
        <w:br/>
        <w:t>Reporting dashboard</w:t>
        <w:br/>
        <w:t xml:space="preserve">    ↓</w:t>
        <w:br/>
        <w:t>QA validation</w:t>
        <w:br/>
        <w:t xml:space="preserve">    ↓</w:t>
        <w:br/>
        <w:t>Security review</w:t>
        <w:br/>
        <w:t xml:space="preserve">    ↓</w:t>
        <w:br/>
        <w:t>Customer demo</w:t>
      </w:r>
    </w:p>
    <w:p>
      <w:pPr>
        <w:pStyle w:val="ListBullet"/>
        <w:spacing w:after="40"/>
      </w:pPr>
      <w:r>
        <w:t>The Security Engineer is a shared specialist with an unrelated protected private-team commitment on Tuesday 14:00–16:00.</w:t>
      </w:r>
    </w:p>
    <w:p>
      <w:pPr>
        <w:pStyle w:val="ListBullet"/>
        <w:spacing w:after="40"/>
      </w:pPr>
      <w:r>
        <w:t>The frontend engineer is already completing a high-priority existing task.</w:t>
      </w:r>
    </w:p>
    <w:p>
      <w:pPr>
        <w:pStyle w:val="ListBullet"/>
        <w:spacing w:after="40"/>
      </w:pPr>
      <w:r>
        <w:t>The implementation lead has another customer rollout later in the week.</w:t>
      </w:r>
    </w:p>
    <w:p>
      <w:pPr>
        <w:pStyle w:val="ListBullet"/>
        <w:spacing w:after="40"/>
      </w:pPr>
      <w:r>
        <w:t>The HR team can see the Security Engineer’s capacity but not the private customer/project context behind protected reservations.</w:t>
      </w:r>
    </w:p>
    <w:p>
      <w:pPr>
        <w:pStyle w:val="Heading2"/>
      </w:pPr>
      <w:r>
        <w:t>7.2 Change A: customer moves demo earlier</w:t>
      </w: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b/>
                <w:color w:val="17365D"/>
                <w:sz w:val="20"/>
              </w:rPr>
              <w:t>Manager input</w:t>
              <w:br/>
            </w:r>
            <w:r>
              <w:rPr>
                <w:sz w:val="18"/>
              </w:rPr>
              <w:t>“Hikari wants the demo Wednesday afternoon instead of Friday. Make sure reporting is ready.”</w:t>
            </w:r>
          </w:p>
        </w:tc>
      </w:tr>
    </w:tbl>
    <w:p>
      <w:pPr>
        <w:spacing w:after="0"/>
      </w:pPr>
    </w:p>
    <w:p>
      <w:r>
        <w:t>Expected system behavior:</w:t>
      </w:r>
    </w:p>
    <w:p>
      <w:pPr>
        <w:pStyle w:val="ListBullet"/>
        <w:spacing w:after="40"/>
      </w:pPr>
      <w:r>
        <w:t>Retrieve current deadline, tasks, dependencies, owners, effort estimates, reviewer requirements, availability and relevant source records.</w:t>
      </w:r>
    </w:p>
    <w:p>
      <w:pPr>
        <w:pStyle w:val="ListBullet"/>
        <w:spacing w:after="40"/>
      </w:pPr>
      <w:r>
        <w:t>Interpret the deadline change and prerequisite relationship; ask only if the exact demo time or required completion semantics are ambiguous.</w:t>
      </w:r>
    </w:p>
    <w:p>
      <w:pPr>
        <w:pStyle w:val="ListBullet"/>
        <w:spacing w:after="40"/>
      </w:pPr>
      <w:r>
        <w:t>Test no-disruption insertion first.</w:t>
      </w:r>
    </w:p>
    <w:p>
      <w:pPr>
        <w:pStyle w:val="ListBullet"/>
        <w:spacing w:after="40"/>
      </w:pPr>
      <w:r>
        <w:t>If the current insertion conflicts with the Security reviewer, find the smallest authorized repair.</w:t>
      </w:r>
    </w:p>
    <w:p>
      <w:pPr>
        <w:pStyle w:val="ListBullet"/>
        <w:spacing w:after="40"/>
      </w:pPr>
      <w:r>
        <w:t>Return a before/after diff and identify what was preserved.</w:t>
      </w:r>
    </w:p>
    <w:p>
      <w:pPr>
        <w:pStyle w:val="ListBullet"/>
        <w:spacing w:after="40"/>
      </w:pPr>
      <w:r>
        <w:t>Require approval only for changes that exceed already delegated authority.</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sz w:val="20"/>
              </w:rPr>
              <w:t>Illustrative successful repair (fixture target, not a claimed measured result)</w:t>
              <w:br/>
            </w:r>
            <w:r>
              <w:rPr>
                <w:sz w:val="18"/>
              </w:rPr>
              <w:t>37 relevant commitments checked; 1 commitment moved; 0 owners changed; 0 deadlines extended; 36 commitments preserved. The actual benchmark must compute these values from the generated fixture.</w:t>
            </w:r>
          </w:p>
        </w:tc>
      </w:tr>
    </w:tbl>
    <w:p>
      <w:pPr>
        <w:spacing w:after="0"/>
      </w:pPr>
    </w:p>
    <w:p>
      <w:pPr>
        <w:pStyle w:val="Heading2"/>
      </w:pPr>
      <w:r>
        <w:t>7.3 Change B: a critical production incident becomes the highest-priority work</w:t>
      </w: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
              <w:t>Incident event</w:t>
            </w:r>
            <w:r>
              <w:br/>
            </w:r>
            <w:r>
              <w:t>“SEV-1: SSO login is failing for multiple enterprise customers. The incident commander has declared this Critical under the company incident policy. Restore service as soon as possible.”</w:t>
            </w:r>
          </w:p>
        </w:tc>
      </w:tr>
    </w:tbl>
    <w:p>
      <w:pPr>
        <w:spacing w:after="0"/>
      </w:pPr>
    </w:p>
    <w:p>
      <w:pPr>
        <w:pStyle w:val="ListBullet"/>
        <w:spacing w:after="40"/>
      </w:pPr>
      <w:r>
        <w:t>The incident creates an urgent dependency chain such as triage → hotfix → security review → smoke test → deploy/verify. It competes for at least two people already involved in the Hikari demo, such as the Security Engineer and QA/Release Engineer.</w:t>
      </w:r>
    </w:p>
    <w:p>
      <w:pPr>
        <w:pStyle w:val="ListBullet"/>
        <w:spacing w:after="40"/>
      </w:pPr>
      <w:r>
        <w:t>The Critical rank must come from an authorised incident source/policy and actor. The LLM cannot simply label work “critical” because the prose sounds urgent.</w:t>
      </w:r>
    </w:p>
    <w:p>
      <w:pPr>
        <w:pStyle w:val="ListBullet"/>
        <w:spacing w:after="40"/>
      </w:pPr>
      <w:r>
        <w:t>Higher-priority ready incident work receives contested capacity before lower-priority flexible work, but started/protected commitments remain locked unless the relevant policy or owner permits movement.</w:t>
      </w:r>
    </w:p>
    <w:p>
      <w:pPr>
        <w:pStyle w:val="ListBullet"/>
        <w:spacing w:after="40"/>
      </w:pPr>
      <w:r>
        <w:t>The repair should move the smallest necessary set of lower-priority work. It must not silently extend the already agreed Hikari demo deadline; if preserving both is impossible, the system must surface the conflict and request the required approval.</w:t>
      </w:r>
    </w:p>
    <w:p>
      <w:pPr>
        <w:pStyle w:val="ListBullet"/>
      </w:pPr>
      <w:r>
        <w:t>The proposal must explain which blocks moved because of the priority policy, which commitments were preserved, and which people/teams actually need notification. Unrelated low-priority work should continue if it does not compete for the scarce resources.</w:t>
      </w:r>
    </w:p>
    <w:p>
      <w:pPr>
        <w:pStyle w:val="ListBullet"/>
      </w:pPr>
      <w:r>
        <w:t>Cross-team privacy still applies: a team that lacks incident access may see only an opaque higher-priority/protected reservation or the minimum facts needed to understand its own change; incident details are not propagated merely because a shared employee works across both contexts.</w:t>
      </w:r>
    </w:p>
    <w:p>
      <w:pPr>
        <w:pStyle w:val="Heading2"/>
      </w:pPr>
      <w:r>
        <w:t>7.4 Supporting benchmark variants (not part of the main two-change demo)</w:t>
      </w: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
              <w:t>Optional benchmark cases</w:t>
            </w:r>
            <w:r>
              <w:br/>
            </w:r>
            <w:r>
              <w:t>HR onboarding needs a shared Security specialist; an impossible Tuesday-noon demo deadline; revoked source access; an unrelated no-impact meeting change; unavailable calendar lookup; concurrent manager updates.</w:t>
            </w:r>
          </w:p>
        </w:tc>
      </w:tr>
    </w:tbl>
    <w:p>
      <w:pPr>
        <w:spacing w:after="0"/>
      </w:pPr>
    </w:p>
    <w:p>
      <w:r>
        <w:t>These cases remain useful because the generator and benchmark need failures, privacy checks and no-op cases even though the live presentation focuses on Changes A and B. Keep them replayable and machine-labelled, but treat them as automated/backup tests rather than additional main-demo stories. In particular, the impossible-deadline case should return INFEASIBLE_WITHIN_SCOPE with a source-linked diagnosis, not an invented schedule.</w:t>
      </w:r>
    </w:p>
    <w:p>
      <w:pPr>
        <w:pStyle w:val="Heading1"/>
      </w:pPr>
      <w:r>
        <w:t>8. Locality and Scale Demonstration</w:t>
      </w:r>
    </w:p>
    <w:p>
      <w:r>
        <w:t>The full fixture should be large, but a single request should touch only a small neighborhood. The simulation should make this measurable.</w:t>
      </w:r>
    </w:p>
    <w:tbl>
      <w:tblPr>
        <w:tblStyle w:val="TableGrid"/>
        <w:tblW w:type="auto" w:w="0"/>
        <w:jc w:val="center"/>
        <w:tblLook w:firstColumn="1" w:firstRow="1" w:lastColumn="0" w:lastRow="0" w:noHBand="0" w:noVBand="1" w:val="04A0"/>
      </w:tblPr>
      <w:tblGrid>
        <w:gridCol w:w="5083"/>
        <w:gridCol w:w="5083"/>
      </w:tblGrid>
      <w:tr>
        <w:tc>
          <w:tcPr>
            <w:tcW w:type="dxa" w:w="3744"/>
            <w:shd w:fill="17365D"/>
            <w:vAlign w:val="center"/>
            <w:tcMar>
              <w:top w:w="70" w:type="dxa"/>
              <w:start w:w="90" w:type="dxa"/>
              <w:bottom w:w="70" w:type="dxa"/>
              <w:end w:w="90" w:type="dxa"/>
            </w:tcMar>
          </w:tcPr>
          <w:p>
            <w:pPr>
              <w:jc w:val="left"/>
            </w:pPr>
            <w:r>
              <w:rPr>
                <w:rFonts w:ascii="Arial" w:hAnsi="Arial"/>
                <w:b/>
                <w:color w:val="FFFFFF"/>
                <w:sz w:val="17"/>
              </w:rPr>
              <w:t>Company-wide state</w:t>
            </w:r>
          </w:p>
        </w:tc>
        <w:tc>
          <w:tcPr>
            <w:tcW w:type="dxa" w:w="6192"/>
            <w:shd w:fill="17365D"/>
            <w:vAlign w:val="center"/>
            <w:tcMar>
              <w:top w:w="70" w:type="dxa"/>
              <w:start w:w="90" w:type="dxa"/>
              <w:bottom w:w="70" w:type="dxa"/>
              <w:end w:w="90" w:type="dxa"/>
            </w:tcMar>
          </w:tcPr>
          <w:p>
            <w:pPr>
              <w:jc w:val="left"/>
            </w:pPr>
            <w:r>
              <w:rPr>
                <w:rFonts w:ascii="Arial" w:hAnsi="Arial"/>
                <w:b/>
                <w:color w:val="FFFFFF"/>
                <w:sz w:val="17"/>
              </w:rPr>
              <w:t>Typical affected scope for one local change</w:t>
            </w:r>
          </w:p>
        </w:tc>
      </w:tr>
      <w:tr>
        <w:tc>
          <w:tcPr>
            <w:tcW w:type="dxa" w:w="3744"/>
            <w:vAlign w:val="top"/>
            <w:tcMar>
              <w:top w:w="70" w:type="dxa"/>
              <w:start w:w="90" w:type="dxa"/>
              <w:bottom w:w="70" w:type="dxa"/>
              <w:end w:w="90" w:type="dxa"/>
            </w:tcMar>
          </w:tcPr>
          <w:p>
            <w:pPr>
              <w:spacing w:after="0"/>
            </w:pPr>
            <w:r>
              <w:rPr>
                <w:rFonts w:ascii="Arial" w:hAnsi="Arial"/>
                <w:sz w:val="17"/>
              </w:rPr>
              <w:t>3,000 employees</w:t>
            </w:r>
          </w:p>
        </w:tc>
        <w:tc>
          <w:tcPr>
            <w:tcW w:type="dxa" w:w="6192"/>
            <w:vAlign w:val="top"/>
            <w:tcMar>
              <w:top w:w="70" w:type="dxa"/>
              <w:start w:w="90" w:type="dxa"/>
              <w:bottom w:w="70" w:type="dxa"/>
              <w:end w:w="90" w:type="dxa"/>
            </w:tcMar>
          </w:tcPr>
          <w:p>
            <w:pPr>
              <w:spacing w:after="0"/>
            </w:pPr>
            <w:r>
              <w:rPr>
                <w:rFonts w:ascii="Arial" w:hAnsi="Arial"/>
                <w:sz w:val="17"/>
              </w:rPr>
              <w:t>~10–30 employees</w:t>
            </w:r>
          </w:p>
        </w:tc>
      </w:tr>
      <w:tr>
        <w:tc>
          <w:tcPr>
            <w:tcW w:type="dxa" w:w="3744"/>
            <w:vAlign w:val="top"/>
            <w:tcMar>
              <w:top w:w="70" w:type="dxa"/>
              <w:start w:w="90" w:type="dxa"/>
              <w:bottom w:w="70" w:type="dxa"/>
              <w:end w:w="90" w:type="dxa"/>
            </w:tcMar>
            <w:shd w:fill="F6F8FA"/>
          </w:tcPr>
          <w:p>
            <w:pPr>
              <w:spacing w:after="0"/>
            </w:pPr>
            <w:r>
              <w:rPr>
                <w:rFonts w:ascii="Arial" w:hAnsi="Arial"/>
                <w:sz w:val="17"/>
              </w:rPr>
              <w:t>117 teams</w:t>
            </w:r>
          </w:p>
        </w:tc>
        <w:tc>
          <w:tcPr>
            <w:tcW w:type="dxa" w:w="6192"/>
            <w:vAlign w:val="top"/>
            <w:tcMar>
              <w:top w:w="70" w:type="dxa"/>
              <w:start w:w="90" w:type="dxa"/>
              <w:bottom w:w="70" w:type="dxa"/>
              <w:end w:w="90" w:type="dxa"/>
            </w:tcMar>
            <w:shd w:fill="F6F8FA"/>
          </w:tcPr>
          <w:p>
            <w:pPr>
              <w:spacing w:after="0"/>
            </w:pPr>
            <w:r>
              <w:rPr>
                <w:rFonts w:ascii="Arial" w:hAnsi="Arial"/>
                <w:sz w:val="17"/>
              </w:rPr>
              <w:t>~2–5 teams</w:t>
            </w:r>
          </w:p>
        </w:tc>
      </w:tr>
      <w:tr>
        <w:tc>
          <w:tcPr>
            <w:tcW w:type="dxa" w:w="3744"/>
            <w:vAlign w:val="top"/>
            <w:tcMar>
              <w:top w:w="70" w:type="dxa"/>
              <w:start w:w="90" w:type="dxa"/>
              <w:bottom w:w="70" w:type="dxa"/>
              <w:end w:w="90" w:type="dxa"/>
            </w:tcMar>
          </w:tcPr>
          <w:p>
            <w:pPr>
              <w:spacing w:after="0"/>
            </w:pPr>
            <w:r>
              <w:rPr>
                <w:rFonts w:ascii="Arial" w:hAnsi="Arial"/>
                <w:sz w:val="17"/>
              </w:rPr>
              <w:t>~150 active projects</w:t>
            </w:r>
          </w:p>
        </w:tc>
        <w:tc>
          <w:tcPr>
            <w:tcW w:type="dxa" w:w="6192"/>
            <w:vAlign w:val="top"/>
            <w:tcMar>
              <w:top w:w="70" w:type="dxa"/>
              <w:start w:w="90" w:type="dxa"/>
              <w:bottom w:w="70" w:type="dxa"/>
              <w:end w:w="90" w:type="dxa"/>
            </w:tcMar>
          </w:tcPr>
          <w:p>
            <w:pPr>
              <w:spacing w:after="0"/>
            </w:pPr>
            <w:r>
              <w:rPr>
                <w:rFonts w:ascii="Arial" w:hAnsi="Arial"/>
                <w:sz w:val="17"/>
              </w:rPr>
              <w:t>~2–6 projects</w:t>
            </w:r>
          </w:p>
        </w:tc>
      </w:tr>
      <w:tr>
        <w:tc>
          <w:tcPr>
            <w:tcW w:type="dxa" w:w="3744"/>
            <w:vAlign w:val="top"/>
            <w:tcMar>
              <w:top w:w="70" w:type="dxa"/>
              <w:start w:w="90" w:type="dxa"/>
              <w:bottom w:w="70" w:type="dxa"/>
              <w:end w:w="90" w:type="dxa"/>
            </w:tcMar>
            <w:shd w:fill="F6F8FA"/>
          </w:tcPr>
          <w:p>
            <w:pPr>
              <w:spacing w:after="0"/>
            </w:pPr>
            <w:r>
              <w:rPr>
                <w:rFonts w:ascii="Arial" w:hAnsi="Arial"/>
                <w:sz w:val="17"/>
              </w:rPr>
              <w:t>~8,000 active tasks</w:t>
            </w:r>
          </w:p>
        </w:tc>
        <w:tc>
          <w:tcPr>
            <w:tcW w:type="dxa" w:w="6192"/>
            <w:vAlign w:val="top"/>
            <w:tcMar>
              <w:top w:w="70" w:type="dxa"/>
              <w:start w:w="90" w:type="dxa"/>
              <w:bottom w:w="70" w:type="dxa"/>
              <w:end w:w="90" w:type="dxa"/>
            </w:tcMar>
            <w:shd w:fill="F6F8FA"/>
          </w:tcPr>
          <w:p>
            <w:pPr>
              <w:spacing w:after="0"/>
            </w:pPr>
            <w:r>
              <w:rPr>
                <w:rFonts w:ascii="Arial" w:hAnsi="Arial"/>
                <w:sz w:val="17"/>
              </w:rPr>
              <w:t>~20–80 tasks/commitments</w:t>
            </w:r>
          </w:p>
        </w:tc>
      </w:tr>
      <w:tr>
        <w:tc>
          <w:tcPr>
            <w:tcW w:type="dxa" w:w="3744"/>
            <w:vAlign w:val="top"/>
            <w:tcMar>
              <w:top w:w="70" w:type="dxa"/>
              <w:start w:w="90" w:type="dxa"/>
              <w:bottom w:w="70" w:type="dxa"/>
              <w:end w:w="90" w:type="dxa"/>
            </w:tcMar>
          </w:tcPr>
          <w:p>
            <w:pPr>
              <w:spacing w:after="0"/>
            </w:pPr>
            <w:r>
              <w:rPr>
                <w:rFonts w:ascii="Arial" w:hAnsi="Arial"/>
                <w:sz w:val="17"/>
              </w:rPr>
              <w:t>~120 shared specialists</w:t>
            </w:r>
          </w:p>
        </w:tc>
        <w:tc>
          <w:tcPr>
            <w:tcW w:type="dxa" w:w="6192"/>
            <w:vAlign w:val="top"/>
            <w:tcMar>
              <w:top w:w="70" w:type="dxa"/>
              <w:start w:w="90" w:type="dxa"/>
              <w:bottom w:w="70" w:type="dxa"/>
              <w:end w:w="90" w:type="dxa"/>
            </w:tcMar>
          </w:tcPr>
          <w:p>
            <w:pPr>
              <w:spacing w:after="0"/>
            </w:pPr>
            <w:r>
              <w:rPr>
                <w:rFonts w:ascii="Arial" w:hAnsi="Arial"/>
                <w:sz w:val="17"/>
              </w:rPr>
              <w:t>~1–5 shared specialists</w:t>
            </w:r>
          </w:p>
        </w:tc>
      </w:tr>
    </w:tbl>
    <w:p>
      <w:pPr>
        <w:spacing w:after="0"/>
      </w:pPr>
    </w:p>
    <w:p>
      <w:r>
        <w:t>The benchmark runner should report:</w:t>
      </w:r>
    </w:p>
    <w:p>
      <w:pPr>
        <w:pStyle w:val="ListBullet"/>
        <w:spacing w:after="40"/>
      </w:pPr>
      <w:r>
        <w:t>affected employees / teams / tasks;</w:t>
      </w:r>
    </w:p>
    <w:p>
      <w:pPr>
        <w:pStyle w:val="ListBullet"/>
        <w:spacing w:after="40"/>
      </w:pPr>
      <w:r>
        <w:t>percentage of company state excluded from the planning scope;</w:t>
      </w:r>
    </w:p>
    <w:p>
      <w:pPr>
        <w:pStyle w:val="ListBullet"/>
        <w:spacing w:after="40"/>
      </w:pPr>
      <w:r>
        <w:t>number of boundary constraints imported from private/adjacent projects;</w:t>
      </w:r>
    </w:p>
    <w:p>
      <w:pPr>
        <w:pStyle w:val="ListBullet"/>
        <w:spacing w:after="40"/>
      </w:pPr>
      <w:r>
        <w:t>number of commitments preserved unchanged;</w:t>
      </w:r>
    </w:p>
    <w:p>
      <w:pPr>
        <w:pStyle w:val="ListBullet"/>
        <w:spacing w:after="40"/>
      </w:pPr>
      <w:r>
        <w:t>solver variables/constraints and runtime for the affected model versus company size.</w:t>
      </w:r>
    </w:p>
    <w:p>
      <w:pPr>
        <w:pStyle w:val="Heading1"/>
      </w:pPr>
      <w:r>
        <w:t>9. Ground Truth and Benchmark Case Format</w:t>
      </w:r>
    </w:p>
    <w:p>
      <w:r>
        <w:t>Every generated scenario must include a machine-readable ground-truth manifest. This is what makes the synthetic simulation useful for evaluation rather than merely a visually plausible demo.</w:t>
      </w:r>
    </w:p>
    <w:tbl>
      <w:tblPr>
        <w:tblStyle w:val="TableGrid"/>
        <w:tblW w:type="auto" w:w="0"/>
        <w:jc w:val="center"/>
        <w:tblLook w:firstColumn="1" w:firstRow="1" w:lastColumn="0" w:lastRow="0" w:noHBand="0" w:noVBand="1" w:val="04A0"/>
      </w:tblPr>
      <w:tblGrid>
        <w:gridCol w:w="5083"/>
        <w:gridCol w:w="5083"/>
      </w:tblGrid>
      <w:tr>
        <w:tc>
          <w:tcPr>
            <w:tcW w:type="dxa" w:w="3024"/>
            <w:shd w:fill="17365D"/>
            <w:vAlign w:val="center"/>
            <w:tcMar>
              <w:top w:w="70" w:type="dxa"/>
              <w:start w:w="90" w:type="dxa"/>
              <w:bottom w:w="70" w:type="dxa"/>
              <w:end w:w="90" w:type="dxa"/>
            </w:tcMar>
          </w:tcPr>
          <w:p>
            <w:pPr>
              <w:jc w:val="left"/>
            </w:pPr>
            <w:r>
              <w:rPr>
                <w:rFonts w:ascii="Arial" w:hAnsi="Arial"/>
                <w:b/>
                <w:color w:val="FFFFFF"/>
                <w:sz w:val="16"/>
              </w:rPr>
              <w:t>Ground-truth field</w:t>
            </w:r>
          </w:p>
        </w:tc>
        <w:tc>
          <w:tcPr>
            <w:tcW w:type="dxa" w:w="6912"/>
            <w:shd w:fill="17365D"/>
            <w:vAlign w:val="center"/>
            <w:tcMar>
              <w:top w:w="70" w:type="dxa"/>
              <w:start w:w="90" w:type="dxa"/>
              <w:bottom w:w="70" w:type="dxa"/>
              <w:end w:w="90" w:type="dxa"/>
            </w:tcMar>
          </w:tcPr>
          <w:p>
            <w:pPr>
              <w:jc w:val="left"/>
            </w:pPr>
            <w:r>
              <w:rPr>
                <w:rFonts w:ascii="Arial" w:hAnsi="Arial"/>
                <w:b/>
                <w:color w:val="FFFFFF"/>
                <w:sz w:val="16"/>
              </w:rPr>
              <w:t>Purpose</w:t>
            </w:r>
          </w:p>
        </w:tc>
      </w:tr>
      <w:tr>
        <w:tc>
          <w:tcPr>
            <w:tcW w:type="dxa" w:w="3024"/>
            <w:vAlign w:val="top"/>
            <w:tcMar>
              <w:top w:w="70" w:type="dxa"/>
              <w:start w:w="90" w:type="dxa"/>
              <w:bottom w:w="70" w:type="dxa"/>
              <w:end w:w="90" w:type="dxa"/>
            </w:tcMar>
          </w:tcPr>
          <w:p>
            <w:pPr>
              <w:spacing w:after="0"/>
            </w:pPr>
            <w:r>
              <w:rPr>
                <w:rFonts w:ascii="Arial" w:hAnsi="Arial"/>
                <w:sz w:val="16"/>
              </w:rPr>
              <w:t>expected_material_constraints</w:t>
            </w:r>
          </w:p>
        </w:tc>
        <w:tc>
          <w:tcPr>
            <w:tcW w:type="dxa" w:w="6912"/>
            <w:vAlign w:val="top"/>
            <w:tcMar>
              <w:top w:w="70" w:type="dxa"/>
              <w:start w:w="90" w:type="dxa"/>
              <w:bottom w:w="70" w:type="dxa"/>
              <w:end w:w="90" w:type="dxa"/>
            </w:tcMar>
          </w:tcPr>
          <w:p>
            <w:pPr>
              <w:spacing w:after="0"/>
            </w:pPr>
            <w:r>
              <w:rPr>
                <w:rFonts w:ascii="Arial" w:hAnsi="Arial"/>
                <w:sz w:val="16"/>
              </w:rPr>
              <w:t>Human-authored/generator-authored constraints that should be recovered from sources.</w:t>
            </w:r>
          </w:p>
        </w:tc>
      </w:tr>
      <w:tr>
        <w:tc>
          <w:tcPr>
            <w:tcW w:type="dxa" w:w="3024"/>
            <w:vAlign w:val="top"/>
            <w:tcMar>
              <w:top w:w="70" w:type="dxa"/>
              <w:start w:w="90" w:type="dxa"/>
              <w:bottom w:w="70" w:type="dxa"/>
              <w:end w:w="90" w:type="dxa"/>
            </w:tcMar>
            <w:shd w:fill="F6F8FA"/>
          </w:tcPr>
          <w:p>
            <w:pPr>
              <w:spacing w:after="0"/>
            </w:pPr>
            <w:r>
              <w:rPr>
                <w:rFonts w:ascii="Arial" w:hAnsi="Arial"/>
                <w:sz w:val="16"/>
              </w:rPr>
              <w:t>authoritative_source_ids</w:t>
            </w:r>
          </w:p>
        </w:tc>
        <w:tc>
          <w:tcPr>
            <w:tcW w:type="dxa" w:w="6912"/>
            <w:vAlign w:val="top"/>
            <w:tcMar>
              <w:top w:w="70" w:type="dxa"/>
              <w:start w:w="90" w:type="dxa"/>
              <w:bottom w:w="70" w:type="dxa"/>
              <w:end w:w="90" w:type="dxa"/>
            </w:tcMar>
            <w:shd w:fill="F6F8FA"/>
          </w:tcPr>
          <w:p>
            <w:pPr>
              <w:spacing w:after="0"/>
            </w:pPr>
            <w:r>
              <w:rPr>
                <w:rFonts w:ascii="Arial" w:hAnsi="Arial"/>
                <w:sz w:val="16"/>
              </w:rPr>
              <w:t>Which exact source versions are allowed to establish each fact.</w:t>
            </w:r>
          </w:p>
        </w:tc>
      </w:tr>
      <w:tr>
        <w:tc>
          <w:tcPr>
            <w:tcW w:type="dxa" w:w="3024"/>
            <w:vAlign w:val="top"/>
            <w:tcMar>
              <w:top w:w="70" w:type="dxa"/>
              <w:start w:w="90" w:type="dxa"/>
              <w:bottom w:w="70" w:type="dxa"/>
              <w:end w:w="90" w:type="dxa"/>
            </w:tcMar>
          </w:tcPr>
          <w:p>
            <w:pPr>
              <w:spacing w:after="0"/>
            </w:pPr>
            <w:r>
              <w:rPr>
                <w:rFonts w:ascii="Arial" w:hAnsi="Arial"/>
                <w:sz w:val="16"/>
              </w:rPr>
              <w:t>permitted_viewers / grants</w:t>
            </w:r>
          </w:p>
        </w:tc>
        <w:tc>
          <w:tcPr>
            <w:tcW w:type="dxa" w:w="6912"/>
            <w:vAlign w:val="top"/>
            <w:tcMar>
              <w:top w:w="70" w:type="dxa"/>
              <w:start w:w="90" w:type="dxa"/>
              <w:bottom w:w="70" w:type="dxa"/>
              <w:end w:w="90" w:type="dxa"/>
            </w:tcMar>
          </w:tcPr>
          <w:p>
            <w:pPr>
              <w:spacing w:after="0"/>
            </w:pPr>
            <w:r>
              <w:rPr>
                <w:rFonts w:ascii="Arial" w:hAnsi="Arial"/>
                <w:sz w:val="16"/>
              </w:rPr>
              <w:t>Expected privacy boundary for manager, employee and planner roles.</w:t>
            </w:r>
          </w:p>
        </w:tc>
      </w:tr>
      <w:tr>
        <w:tc>
          <w:tcPr>
            <w:tcW w:type="dxa" w:w="3024"/>
            <w:vAlign w:val="top"/>
            <w:tcMar>
              <w:top w:w="70" w:type="dxa"/>
              <w:start w:w="90" w:type="dxa"/>
              <w:bottom w:w="70" w:type="dxa"/>
              <w:end w:w="90" w:type="dxa"/>
            </w:tcMar>
            <w:shd w:fill="F6F8FA"/>
          </w:tcPr>
          <w:p>
            <w:pPr>
              <w:spacing w:after="0"/>
            </w:pPr>
            <w:r>
              <w:rPr>
                <w:rFonts w:ascii="Arial" w:hAnsi="Arial"/>
                <w:sz w:val="16"/>
              </w:rPr>
              <w:t>expected_feasibility</w:t>
            </w:r>
          </w:p>
        </w:tc>
        <w:tc>
          <w:tcPr>
            <w:tcW w:type="dxa" w:w="6912"/>
            <w:vAlign w:val="top"/>
            <w:tcMar>
              <w:top w:w="70" w:type="dxa"/>
              <w:start w:w="90" w:type="dxa"/>
              <w:bottom w:w="70" w:type="dxa"/>
              <w:end w:w="90" w:type="dxa"/>
            </w:tcMar>
            <w:shd w:fill="F6F8FA"/>
          </w:tcPr>
          <w:p>
            <w:pPr>
              <w:spacing w:after="0"/>
            </w:pPr>
            <w:r>
              <w:rPr>
                <w:rFonts w:ascii="Arial" w:hAnsi="Arial"/>
                <w:sz w:val="16"/>
              </w:rPr>
              <w:t>FEASIBLE / INFEASIBLE_WITHIN_SCOPE / UNKNOWN case class.</w:t>
            </w:r>
          </w:p>
        </w:tc>
      </w:tr>
      <w:tr>
        <w:tc>
          <w:tcPr>
            <w:tcW w:type="dxa" w:w="3024"/>
            <w:vAlign w:val="top"/>
            <w:tcMar>
              <w:top w:w="70" w:type="dxa"/>
              <w:start w:w="90" w:type="dxa"/>
              <w:bottom w:w="70" w:type="dxa"/>
              <w:end w:w="90" w:type="dxa"/>
            </w:tcMar>
          </w:tcPr>
          <w:p>
            <w:pPr>
              <w:spacing w:after="0"/>
            </w:pPr>
            <w:r>
              <w:rPr>
                <w:rFonts w:ascii="Arial" w:hAnsi="Arial"/>
                <w:sz w:val="16"/>
              </w:rPr>
              <w:t>protected_commitments</w:t>
            </w:r>
          </w:p>
        </w:tc>
        <w:tc>
          <w:tcPr>
            <w:tcW w:type="dxa" w:w="6912"/>
            <w:vAlign w:val="top"/>
            <w:tcMar>
              <w:top w:w="70" w:type="dxa"/>
              <w:start w:w="90" w:type="dxa"/>
              <w:bottom w:w="70" w:type="dxa"/>
              <w:end w:w="90" w:type="dxa"/>
            </w:tcMar>
          </w:tcPr>
          <w:p>
            <w:pPr>
              <w:spacing w:after="0"/>
            </w:pPr>
            <w:r>
              <w:rPr>
                <w:rFonts w:ascii="Arial" w:hAnsi="Arial"/>
                <w:sz w:val="16"/>
              </w:rPr>
              <w:t>Rows that must not move without explicit additional authority.</w:t>
            </w:r>
          </w:p>
        </w:tc>
      </w:tr>
      <w:tr>
        <w:tc>
          <w:tcPr>
            <w:tcW w:type="dxa" w:w="3024"/>
            <w:vAlign w:val="top"/>
            <w:tcMar>
              <w:top w:w="70" w:type="dxa"/>
              <w:start w:w="90" w:type="dxa"/>
              <w:bottom w:w="70" w:type="dxa"/>
              <w:end w:w="90" w:type="dxa"/>
            </w:tcMar>
            <w:shd w:fill="F6F8FA"/>
          </w:tcPr>
          <w:p>
            <w:pPr>
              <w:spacing w:after="0"/>
            </w:pPr>
            <w:r>
              <w:rPr>
                <w:rFonts w:ascii="Arial" w:hAnsi="Arial"/>
                <w:sz w:val="16"/>
              </w:rPr>
              <w:t>allowed_flexibility</w:t>
            </w:r>
          </w:p>
        </w:tc>
        <w:tc>
          <w:tcPr>
            <w:tcW w:type="dxa" w:w="6912"/>
            <w:vAlign w:val="top"/>
            <w:tcMar>
              <w:top w:w="70" w:type="dxa"/>
              <w:start w:w="90" w:type="dxa"/>
              <w:bottom w:w="70" w:type="dxa"/>
              <w:end w:w="90" w:type="dxa"/>
            </w:tcMar>
            <w:shd w:fill="F6F8FA"/>
          </w:tcPr>
          <w:p>
            <w:pPr>
              <w:spacing w:after="0"/>
            </w:pPr>
            <w:r>
              <w:rPr>
                <w:rFonts w:ascii="Arial" w:hAnsi="Arial"/>
                <w:sz w:val="16"/>
              </w:rPr>
              <w:t>Deadline windows, movable work, eligible alternatives.</w:t>
            </w:r>
          </w:p>
        </w:tc>
      </w:tr>
      <w:tr>
        <w:tc>
          <w:tcPr>
            <w:tcW w:type="dxa" w:w="3024"/>
            <w:vAlign w:val="top"/>
            <w:tcMar>
              <w:top w:w="70" w:type="dxa"/>
              <w:start w:w="90" w:type="dxa"/>
              <w:bottom w:w="70" w:type="dxa"/>
              <w:end w:w="90" w:type="dxa"/>
            </w:tcMar>
          </w:tcPr>
          <w:p>
            <w:pPr>
              <w:spacing w:after="0"/>
            </w:pPr>
            <w:r>
              <w:rPr>
                <w:rFonts w:ascii="Arial" w:hAnsi="Arial"/>
                <w:sz w:val="16"/>
              </w:rPr>
              <w:t>required_approvals</w:t>
            </w:r>
          </w:p>
        </w:tc>
        <w:tc>
          <w:tcPr>
            <w:tcW w:type="dxa" w:w="6912"/>
            <w:vAlign w:val="top"/>
            <w:tcMar>
              <w:top w:w="70" w:type="dxa"/>
              <w:start w:w="90" w:type="dxa"/>
              <w:bottom w:w="70" w:type="dxa"/>
              <w:end w:w="90" w:type="dxa"/>
            </w:tcMar>
          </w:tcPr>
          <w:p>
            <w:pPr>
              <w:spacing w:after="0"/>
            </w:pPr>
            <w:r>
              <w:rPr>
                <w:rFonts w:ascii="Arial" w:hAnsi="Arial"/>
                <w:sz w:val="16"/>
              </w:rPr>
              <w:t>Who must approve which displacement or disclosure.</w:t>
            </w:r>
          </w:p>
        </w:tc>
      </w:tr>
      <w:tr>
        <w:tc>
          <w:tcPr>
            <w:tcW w:type="dxa" w:w="3024"/>
            <w:vAlign w:val="top"/>
            <w:tcMar>
              <w:top w:w="70" w:type="dxa"/>
              <w:start w:w="90" w:type="dxa"/>
              <w:bottom w:w="70" w:type="dxa"/>
              <w:end w:w="90" w:type="dxa"/>
            </w:tcMar>
            <w:shd w:fill="F6F8FA"/>
          </w:tcPr>
          <w:p>
            <w:pPr>
              <w:spacing w:after="0"/>
            </w:pPr>
            <w:r>
              <w:rPr>
                <w:rFonts w:ascii="Arial" w:hAnsi="Arial"/>
                <w:sz w:val="16"/>
              </w:rPr>
              <w:t>expected_affected_scope</w:t>
            </w:r>
          </w:p>
        </w:tc>
        <w:tc>
          <w:tcPr>
            <w:tcW w:type="dxa" w:w="6912"/>
            <w:vAlign w:val="top"/>
            <w:tcMar>
              <w:top w:w="70" w:type="dxa"/>
              <w:start w:w="90" w:type="dxa"/>
              <w:bottom w:w="70" w:type="dxa"/>
              <w:end w:w="90" w:type="dxa"/>
            </w:tcMar>
            <w:shd w:fill="F6F8FA"/>
          </w:tcPr>
          <w:p>
            <w:pPr>
              <w:spacing w:after="0"/>
            </w:pPr>
            <w:r>
              <w:rPr>
                <w:rFonts w:ascii="Arial" w:hAnsi="Arial"/>
                <w:sz w:val="16"/>
              </w:rPr>
              <w:t>Known dependency/resource closure or lower/upper reference set.</w:t>
            </w:r>
          </w:p>
        </w:tc>
      </w:tr>
      <w:tr>
        <w:tc>
          <w:tcPr>
            <w:tcW w:type="dxa" w:w="3024"/>
            <w:vAlign w:val="top"/>
            <w:tcMar>
              <w:top w:w="70" w:type="dxa"/>
              <w:start w:w="90" w:type="dxa"/>
              <w:bottom w:w="70" w:type="dxa"/>
              <w:end w:w="90" w:type="dxa"/>
            </w:tcMar>
          </w:tcPr>
          <w:p>
            <w:pPr>
              <w:spacing w:after="0"/>
            </w:pPr>
            <w:r>
              <w:rPr>
                <w:rFonts w:ascii="Arial" w:hAnsi="Arial"/>
                <w:sz w:val="16"/>
              </w:rPr>
              <w:t>acceptance_checks</w:t>
            </w:r>
          </w:p>
        </w:tc>
        <w:tc>
          <w:tcPr>
            <w:tcW w:type="dxa" w:w="6912"/>
            <w:vAlign w:val="top"/>
            <w:tcMar>
              <w:top w:w="70" w:type="dxa"/>
              <w:start w:w="90" w:type="dxa"/>
              <w:bottom w:w="70" w:type="dxa"/>
              <w:end w:w="90" w:type="dxa"/>
            </w:tcMar>
          </w:tcPr>
          <w:p>
            <w:pPr>
              <w:spacing w:after="0"/>
            </w:pPr>
            <w:r>
              <w:rPr>
                <w:rFonts w:ascii="Arial" w:hAnsi="Arial"/>
                <w:sz w:val="16"/>
              </w:rPr>
              <w:t>Hard invariants that a committed repair must satisfy.</w:t>
            </w:r>
          </w:p>
        </w:tc>
      </w:tr>
    </w:tbl>
    <w:p>
      <w:pPr>
        <w:spacing w:after="0"/>
      </w:pPr>
    </w:p>
    <w:p>
      <w:pPr>
        <w:pStyle w:val="Heading2"/>
      </w:pPr>
      <w:r>
        <w:t>9.1 Metrics the simulation must enable</w:t>
      </w: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Mar>
              <w:top w:w="70" w:type="dxa"/>
              <w:start w:w="90" w:type="dxa"/>
              <w:bottom w:w="70" w:type="dxa"/>
              <w:end w:w="90" w:type="dxa"/>
            </w:tcMar>
          </w:tcPr>
          <w:p>
            <w:pPr>
              <w:jc w:val="left"/>
            </w:pPr>
            <w:r>
              <w:rPr>
                <w:rFonts w:ascii="Arial" w:hAnsi="Arial"/>
                <w:b/>
                <w:color w:val="FFFFFF"/>
                <w:sz w:val="16"/>
              </w:rPr>
              <w:t>Metric</w:t>
            </w:r>
          </w:p>
        </w:tc>
        <w:tc>
          <w:tcPr>
            <w:tcW w:type="dxa" w:w="7056"/>
            <w:shd w:fill="17365D"/>
            <w:vAlign w:val="center"/>
            <w:tcMar>
              <w:top w:w="70" w:type="dxa"/>
              <w:start w:w="90" w:type="dxa"/>
              <w:bottom w:w="70" w:type="dxa"/>
              <w:end w:w="90" w:type="dxa"/>
            </w:tcMar>
          </w:tcPr>
          <w:p>
            <w:pPr>
              <w:jc w:val="left"/>
            </w:pPr>
            <w:r>
              <w:rPr>
                <w:rFonts w:ascii="Arial" w:hAnsi="Arial"/>
                <w:b/>
                <w:color w:val="FFFFFF"/>
                <w:sz w:val="16"/>
              </w:rPr>
              <w:t>Definition / output</w:t>
            </w:r>
          </w:p>
        </w:tc>
      </w:tr>
      <w:tr>
        <w:tc>
          <w:tcPr>
            <w:tcW w:type="dxa" w:w="2880"/>
            <w:vAlign w:val="top"/>
            <w:tcMar>
              <w:top w:w="70" w:type="dxa"/>
              <w:start w:w="90" w:type="dxa"/>
              <w:bottom w:w="70" w:type="dxa"/>
              <w:end w:w="90" w:type="dxa"/>
            </w:tcMar>
          </w:tcPr>
          <w:p>
            <w:pPr>
              <w:spacing w:after="0"/>
            </w:pPr>
            <w:r>
              <w:rPr>
                <w:rFonts w:ascii="Arial" w:hAnsi="Arial"/>
                <w:sz w:val="16"/>
              </w:rPr>
              <w:t>Hard-constraint violations</w:t>
            </w:r>
          </w:p>
        </w:tc>
        <w:tc>
          <w:tcPr>
            <w:tcW w:type="dxa" w:w="7056"/>
            <w:vAlign w:val="top"/>
            <w:tcMar>
              <w:top w:w="70" w:type="dxa"/>
              <w:start w:w="90" w:type="dxa"/>
              <w:bottom w:w="70" w:type="dxa"/>
              <w:end w:w="90" w:type="dxa"/>
            </w:tcMar>
          </w:tcPr>
          <w:p>
            <w:pPr>
              <w:spacing w:after="0"/>
            </w:pPr>
            <w:r>
              <w:rPr>
                <w:rFonts w:ascii="Arial" w:hAnsi="Arial"/>
                <w:sz w:val="16"/>
              </w:rPr>
              <w:t>Count committed plans violating independently checked hard requirements.</w:t>
            </w:r>
          </w:p>
        </w:tc>
      </w:tr>
      <w:tr>
        <w:tc>
          <w:tcPr>
            <w:tcW w:type="dxa" w:w="2880"/>
            <w:vAlign w:val="top"/>
            <w:tcMar>
              <w:top w:w="70" w:type="dxa"/>
              <w:start w:w="90" w:type="dxa"/>
              <w:bottom w:w="70" w:type="dxa"/>
              <w:end w:w="90" w:type="dxa"/>
            </w:tcMar>
            <w:shd w:fill="F6F8FA"/>
          </w:tcPr>
          <w:p>
            <w:pPr>
              <w:spacing w:after="0"/>
            </w:pPr>
            <w:r>
              <w:rPr>
                <w:rFonts w:ascii="Arial" w:hAnsi="Arial"/>
                <w:sz w:val="16"/>
              </w:rPr>
              <w:t>Source-grounding rate</w:t>
            </w:r>
          </w:p>
        </w:tc>
        <w:tc>
          <w:tcPr>
            <w:tcW w:type="dxa" w:w="7056"/>
            <w:vAlign w:val="top"/>
            <w:tcMar>
              <w:top w:w="70" w:type="dxa"/>
              <w:start w:w="90" w:type="dxa"/>
              <w:bottom w:w="70" w:type="dxa"/>
              <w:end w:w="90" w:type="dxa"/>
            </w:tcMar>
            <w:shd w:fill="F6F8FA"/>
          </w:tcPr>
          <w:p>
            <w:pPr>
              <w:spacing w:after="0"/>
            </w:pPr>
            <w:r>
              <w:rPr>
                <w:rFonts w:ascii="Arial" w:hAnsi="Arial"/>
                <w:sz w:val="16"/>
              </w:rPr>
              <w:t>Material constraints with valid source/version lineage or explicit confirmation.</w:t>
            </w:r>
          </w:p>
        </w:tc>
      </w:tr>
      <w:tr>
        <w:tc>
          <w:tcPr>
            <w:tcW w:type="dxa" w:w="2880"/>
            <w:vAlign w:val="top"/>
            <w:tcMar>
              <w:top w:w="70" w:type="dxa"/>
              <w:start w:w="90" w:type="dxa"/>
              <w:bottom w:w="70" w:type="dxa"/>
              <w:end w:w="90" w:type="dxa"/>
            </w:tcMar>
          </w:tcPr>
          <w:p>
            <w:pPr>
              <w:spacing w:after="0"/>
            </w:pPr>
            <w:r>
              <w:rPr>
                <w:rFonts w:ascii="Arial" w:hAnsi="Arial"/>
                <w:sz w:val="16"/>
              </w:rPr>
              <w:t>Unauthorized changes</w:t>
            </w:r>
          </w:p>
        </w:tc>
        <w:tc>
          <w:tcPr>
            <w:tcW w:type="dxa" w:w="7056"/>
            <w:vAlign w:val="top"/>
            <w:tcMar>
              <w:top w:w="70" w:type="dxa"/>
              <w:start w:w="90" w:type="dxa"/>
              <w:bottom w:w="70" w:type="dxa"/>
              <w:end w:w="90" w:type="dxa"/>
            </w:tcMar>
          </w:tcPr>
          <w:p>
            <w:pPr>
              <w:spacing w:after="0"/>
            </w:pPr>
            <w:r>
              <w:rPr>
                <w:rFonts w:ascii="Arial" w:hAnsi="Arial"/>
                <w:sz w:val="16"/>
              </w:rPr>
              <w:t>Reads, writes, deadline moves or disclosures outside granted authority.</w:t>
            </w:r>
          </w:p>
        </w:tc>
      </w:tr>
      <w:tr>
        <w:tc>
          <w:tcPr>
            <w:tcW w:type="dxa" w:w="2880"/>
            <w:vAlign w:val="top"/>
            <w:tcMar>
              <w:top w:w="70" w:type="dxa"/>
              <w:start w:w="90" w:type="dxa"/>
              <w:bottom w:w="70" w:type="dxa"/>
              <w:end w:w="90" w:type="dxa"/>
            </w:tcMar>
            <w:shd w:fill="F6F8FA"/>
          </w:tcPr>
          <w:p>
            <w:pPr>
              <w:spacing w:after="0"/>
            </w:pPr>
            <w:r>
              <w:rPr>
                <w:rFonts w:ascii="Arial" w:hAnsi="Arial"/>
                <w:sz w:val="16"/>
              </w:rPr>
              <w:t>Owner churn</w:t>
            </w:r>
          </w:p>
        </w:tc>
        <w:tc>
          <w:tcPr>
            <w:tcW w:type="dxa" w:w="7056"/>
            <w:vAlign w:val="top"/>
            <w:tcMar>
              <w:top w:w="70" w:type="dxa"/>
              <w:start w:w="90" w:type="dxa"/>
              <w:bottom w:w="70" w:type="dxa"/>
              <w:end w:w="90" w:type="dxa"/>
            </w:tcMar>
            <w:shd w:fill="F6F8FA"/>
          </w:tcPr>
          <w:p>
            <w:pPr>
              <w:spacing w:after="0"/>
            </w:pPr>
            <w:r>
              <w:rPr>
                <w:rFonts w:ascii="Arial" w:hAnsi="Arial"/>
                <w:sz w:val="16"/>
              </w:rPr>
              <w:t>Pre-existing task owners changed by a repair.</w:t>
            </w:r>
          </w:p>
        </w:tc>
      </w:tr>
      <w:tr>
        <w:tc>
          <w:tcPr>
            <w:tcW w:type="dxa" w:w="2880"/>
            <w:vAlign w:val="top"/>
            <w:tcMar>
              <w:top w:w="70" w:type="dxa"/>
              <w:start w:w="90" w:type="dxa"/>
              <w:bottom w:w="70" w:type="dxa"/>
              <w:end w:w="90" w:type="dxa"/>
            </w:tcMar>
          </w:tcPr>
          <w:p>
            <w:pPr>
              <w:spacing w:after="0"/>
            </w:pPr>
            <w:r>
              <w:rPr>
                <w:rFonts w:ascii="Arial" w:hAnsi="Arial"/>
                <w:sz w:val="16"/>
              </w:rPr>
              <w:t>Schedule displacement</w:t>
            </w:r>
          </w:p>
        </w:tc>
        <w:tc>
          <w:tcPr>
            <w:tcW w:type="dxa" w:w="7056"/>
            <w:vAlign w:val="top"/>
            <w:tcMar>
              <w:top w:w="70" w:type="dxa"/>
              <w:start w:w="90" w:type="dxa"/>
              <w:bottom w:w="70" w:type="dxa"/>
              <w:end w:w="90" w:type="dxa"/>
            </w:tcMar>
          </w:tcPr>
          <w:p>
            <w:pPr>
              <w:spacing w:after="0"/>
            </w:pPr>
            <w:r>
              <w:rPr>
                <w:rFonts w:ascii="Arial" w:hAnsi="Arial"/>
                <w:sz w:val="16"/>
              </w:rPr>
              <w:t>Total absolute time shift of existing committed work.</w:t>
            </w:r>
          </w:p>
        </w:tc>
      </w:tr>
      <w:tr>
        <w:tc>
          <w:tcPr>
            <w:tcW w:type="dxa" w:w="2880"/>
            <w:vAlign w:val="top"/>
            <w:tcMar>
              <w:top w:w="70" w:type="dxa"/>
              <w:start w:w="90" w:type="dxa"/>
              <w:bottom w:w="70" w:type="dxa"/>
              <w:end w:w="90" w:type="dxa"/>
            </w:tcMar>
            <w:shd w:fill="F6F8FA"/>
          </w:tcPr>
          <w:p>
            <w:pPr>
              <w:spacing w:after="0"/>
            </w:pPr>
            <w:r>
              <w:rPr>
                <w:rFonts w:ascii="Arial" w:hAnsi="Arial"/>
                <w:sz w:val="16"/>
              </w:rPr>
              <w:t>Preservation rate</w:t>
            </w:r>
          </w:p>
        </w:tc>
        <w:tc>
          <w:tcPr>
            <w:tcW w:type="dxa" w:w="7056"/>
            <w:vAlign w:val="top"/>
            <w:tcMar>
              <w:top w:w="70" w:type="dxa"/>
              <w:start w:w="90" w:type="dxa"/>
              <w:bottom w:w="70" w:type="dxa"/>
              <w:end w:w="90" w:type="dxa"/>
            </w:tcMar>
            <w:shd w:fill="F6F8FA"/>
          </w:tcPr>
          <w:p>
            <w:pPr>
              <w:spacing w:after="0"/>
            </w:pPr>
            <w:r>
              <w:rPr>
                <w:rFonts w:ascii="Arial" w:hAnsi="Arial"/>
                <w:sz w:val="16"/>
              </w:rPr>
              <w:t>Existing affected commitments left unchanged / affected commitments considered.</w:t>
            </w:r>
          </w:p>
        </w:tc>
      </w:tr>
      <w:tr>
        <w:tc>
          <w:tcPr>
            <w:tcW w:type="dxa" w:w="2880"/>
            <w:vAlign w:val="top"/>
            <w:tcMar>
              <w:top w:w="70" w:type="dxa"/>
              <w:start w:w="90" w:type="dxa"/>
              <w:bottom w:w="70" w:type="dxa"/>
              <w:end w:w="90" w:type="dxa"/>
            </w:tcMar>
          </w:tcPr>
          <w:p>
            <w:pPr>
              <w:spacing w:after="0"/>
            </w:pPr>
            <w:r>
              <w:rPr>
                <w:rFonts w:ascii="Arial" w:hAnsi="Arial"/>
                <w:sz w:val="16"/>
              </w:rPr>
              <w:t>Clarification count</w:t>
            </w:r>
          </w:p>
        </w:tc>
        <w:tc>
          <w:tcPr>
            <w:tcW w:type="dxa" w:w="7056"/>
            <w:vAlign w:val="top"/>
            <w:tcMar>
              <w:top w:w="70" w:type="dxa"/>
              <w:start w:w="90" w:type="dxa"/>
              <w:bottom w:w="70" w:type="dxa"/>
              <w:end w:w="90" w:type="dxa"/>
            </w:tcMar>
          </w:tcPr>
          <w:p>
            <w:pPr>
              <w:spacing w:after="0"/>
            </w:pPr>
            <w:r>
              <w:rPr>
                <w:rFonts w:ascii="Arial" w:hAnsi="Arial"/>
                <w:sz w:val="16"/>
              </w:rPr>
              <w:t>Questions that must be returned to the manager because required facts/authority are missing.</w:t>
            </w:r>
          </w:p>
        </w:tc>
      </w:tr>
      <w:tr>
        <w:tc>
          <w:tcPr>
            <w:tcW w:type="dxa" w:w="2880"/>
            <w:vAlign w:val="top"/>
            <w:tcMar>
              <w:top w:w="70" w:type="dxa"/>
              <w:start w:w="90" w:type="dxa"/>
              <w:bottom w:w="70" w:type="dxa"/>
              <w:end w:w="90" w:type="dxa"/>
            </w:tcMar>
            <w:shd w:fill="F6F8FA"/>
          </w:tcPr>
          <w:p>
            <w:pPr>
              <w:spacing w:after="0"/>
            </w:pPr>
            <w:r>
              <w:rPr>
                <w:rFonts w:ascii="Arial" w:hAnsi="Arial"/>
                <w:sz w:val="16"/>
              </w:rPr>
              <w:t>Stale proposal rejection</w:t>
            </w:r>
          </w:p>
        </w:tc>
        <w:tc>
          <w:tcPr>
            <w:tcW w:type="dxa" w:w="7056"/>
            <w:vAlign w:val="top"/>
            <w:tcMar>
              <w:top w:w="70" w:type="dxa"/>
              <w:start w:w="90" w:type="dxa"/>
              <w:bottom w:w="70" w:type="dxa"/>
              <w:end w:w="90" w:type="dxa"/>
            </w:tcMar>
            <w:shd w:fill="F6F8FA"/>
          </w:tcPr>
          <w:p>
            <w:pPr>
              <w:spacing w:after="0"/>
            </w:pPr>
            <w:r>
              <w:rPr>
                <w:rFonts w:ascii="Arial" w:hAnsi="Arial"/>
                <w:sz w:val="16"/>
              </w:rPr>
              <w:t>Whether changed source/permission/company revision blocks an obsolete commit.</w:t>
            </w:r>
          </w:p>
        </w:tc>
      </w:tr>
      <w:tr>
        <w:tc>
          <w:tcPr>
            <w:tcW w:type="dxa" w:w="2880"/>
            <w:vAlign w:val="top"/>
            <w:tcMar>
              <w:top w:w="70" w:type="dxa"/>
              <w:start w:w="90" w:type="dxa"/>
              <w:bottom w:w="70" w:type="dxa"/>
              <w:end w:w="90" w:type="dxa"/>
            </w:tcMar>
          </w:tcPr>
          <w:p>
            <w:pPr>
              <w:spacing w:after="0"/>
            </w:pPr>
            <w:r>
              <w:rPr>
                <w:rFonts w:ascii="Arial" w:hAnsi="Arial"/>
                <w:sz w:val="16"/>
              </w:rPr>
              <w:t>Affected-scope compression</w:t>
            </w:r>
          </w:p>
        </w:tc>
        <w:tc>
          <w:tcPr>
            <w:tcW w:type="dxa" w:w="7056"/>
            <w:vAlign w:val="top"/>
            <w:tcMar>
              <w:top w:w="70" w:type="dxa"/>
              <w:start w:w="90" w:type="dxa"/>
              <w:bottom w:w="70" w:type="dxa"/>
              <w:end w:w="90" w:type="dxa"/>
            </w:tcMar>
          </w:tcPr>
          <w:p>
            <w:pPr>
              <w:spacing w:after="0"/>
            </w:pPr>
            <w:r>
              <w:rPr>
                <w:rFonts w:ascii="Arial" w:hAnsi="Arial"/>
                <w:sz w:val="16"/>
              </w:rPr>
              <w:t>Affected tasks/employees versus full company state.</w:t>
            </w:r>
          </w:p>
        </w:tc>
      </w:tr>
      <w:tr>
        <w:tc>
          <w:tcPr>
            <w:tcW w:type="dxa" w:w="2880"/>
            <w:vAlign w:val="top"/>
            <w:tcMar>
              <w:top w:w="70" w:type="dxa"/>
              <w:start w:w="90" w:type="dxa"/>
              <w:bottom w:w="70" w:type="dxa"/>
              <w:end w:w="90" w:type="dxa"/>
            </w:tcMar>
            <w:shd w:fill="F6F8FA"/>
          </w:tcPr>
          <w:p>
            <w:pPr>
              <w:spacing w:after="0"/>
            </w:pPr>
            <w:r>
              <w:rPr>
                <w:rFonts w:ascii="Arial" w:hAnsi="Arial"/>
                <w:sz w:val="16"/>
              </w:rPr>
              <w:t>Planning latency</w:t>
            </w:r>
          </w:p>
        </w:tc>
        <w:tc>
          <w:tcPr>
            <w:tcW w:type="dxa" w:w="7056"/>
            <w:vAlign w:val="top"/>
            <w:tcMar>
              <w:top w:w="70" w:type="dxa"/>
              <w:start w:w="90" w:type="dxa"/>
              <w:bottom w:w="70" w:type="dxa"/>
              <w:end w:w="90" w:type="dxa"/>
            </w:tcMar>
            <w:shd w:fill="F6F8FA"/>
          </w:tcPr>
          <w:p>
            <w:pPr>
              <w:spacing w:after="0"/>
            </w:pPr>
            <w:r>
              <w:rPr>
                <w:rFonts w:ascii="Arial" w:hAnsi="Arial"/>
                <w:sz w:val="16"/>
              </w:rPr>
              <w:t>Retrieval + interpretation + solver + validation wall time, reported by stage.</w:t>
            </w:r>
          </w:p>
        </w:tc>
      </w:tr>
    </w:tbl>
    <w:p>
      <w:pPr>
        <w:pStyle w:val="Heading2"/>
      </w:pPr>
      <w:r>
        <w:t>9.2 Primary comparison baseline: naive coordinator</w:t>
      </w:r>
    </w:p>
    <w:p>
      <w:pPr/>
      <w:r>
        <w:t>The benchmark must compare Coordination Engine with a transparent, reproducible naive baseline rather than with an intentionally crippled strawman. Both systems start from the same fixed company snapshot, receive the same change event, task durations, skills, permissions, deadlines and priority policy, and are reset to the identical state before each run. The difference is the planning/coordination method.</w:t>
      </w:r>
    </w:p>
    <w:tbl>
      <w:tblPr>
        <w:tblStyle w:val="TableGrid"/>
        <w:tblW w:type="auto" w:w="0"/>
        <w:jc w:val="center"/>
        <w:tblLook w:firstColumn="1" w:firstRow="1" w:lastColumn="0" w:lastRow="0" w:noHBand="0" w:noVBand="1" w:val="04A0"/>
      </w:tblPr>
      <w:tblGrid>
        <w:gridCol w:w="5083"/>
        <w:gridCol w:w="5083"/>
      </w:tblGrid>
      <w:tr>
        <w:tc>
          <w:tcPr>
            <w:tcW w:type="dxa" w:w="2880"/>
            <w:shd w:fill="17354D"/>
            <w:vAlign w:val="center"/>
            <w:tcMar>
              <w:top w:w="80" w:type="dxa"/>
              <w:start w:w="90" w:type="dxa"/>
              <w:bottom w:w="80" w:type="dxa"/>
              <w:end w:w="90" w:type="dxa"/>
            </w:tcMar>
          </w:tcPr>
          <w:p>
            <w:pPr>
              <w:spacing w:after="0" w:before="0"/>
            </w:pPr>
            <w:r>
              <w:rPr>
                <w:b/>
                <w:color w:val="FFFFFF"/>
                <w:sz w:val="17"/>
              </w:rPr>
              <w:t>Baseline component</w:t>
            </w:r>
          </w:p>
        </w:tc>
        <w:tc>
          <w:tcPr>
            <w:tcW w:type="dxa" w:w="7200"/>
            <w:shd w:fill="17354D"/>
            <w:vAlign w:val="center"/>
            <w:tcMar>
              <w:top w:w="80" w:type="dxa"/>
              <w:start w:w="90" w:type="dxa"/>
              <w:bottom w:w="80" w:type="dxa"/>
              <w:end w:w="90" w:type="dxa"/>
            </w:tcMar>
          </w:tcPr>
          <w:p>
            <w:pPr>
              <w:spacing w:after="0" w:before="0"/>
            </w:pPr>
            <w:r>
              <w:rPr>
                <w:b/>
                <w:color w:val="FFFFFF"/>
                <w:sz w:val="17"/>
              </w:rPr>
              <w:t>Naive coordinator behavior</w:t>
            </w:r>
          </w:p>
        </w:tc>
      </w:tr>
      <w:tr>
        <w:tc>
          <w:tcPr>
            <w:tcW w:type="dxa" w:w="2880"/>
            <w:vAlign w:val="center"/>
            <w:tcMar>
              <w:top w:w="80" w:type="dxa"/>
              <w:start w:w="90" w:type="dxa"/>
              <w:bottom w:w="80" w:type="dxa"/>
              <w:end w:w="90" w:type="dxa"/>
            </w:tcMar>
          </w:tcPr>
          <w:p>
            <w:pPr>
              <w:spacing w:after="0" w:before="0"/>
            </w:pPr>
            <w:r>
              <w:rPr>
                <w:sz w:val="17"/>
              </w:rPr>
              <w:t>Affected work</w:t>
            </w:r>
          </w:p>
        </w:tc>
        <w:tc>
          <w:tcPr>
            <w:tcW w:type="dxa" w:w="7200"/>
            <w:vAlign w:val="center"/>
            <w:tcMar>
              <w:top w:w="80" w:type="dxa"/>
              <w:start w:w="90" w:type="dxa"/>
              <w:bottom w:w="80" w:type="dxa"/>
              <w:end w:w="90" w:type="dxa"/>
            </w:tcMar>
          </w:tcPr>
          <w:p>
            <w:pPr>
              <w:spacing w:after="0" w:before="0"/>
            </w:pPr>
            <w:r>
              <w:rPr>
                <w:sz w:val="17"/>
              </w:rPr>
              <w:t>Starts from the changed project/employee and expands through immediate dependencies and assigned shared resources. It may discover additional conflicts only after making local choices.</w:t>
            </w:r>
          </w:p>
        </w:tc>
      </w:tr>
      <w:tr>
        <w:tc>
          <w:tcPr>
            <w:tcW w:type="dxa" w:w="2880"/>
            <w:vAlign w:val="center"/>
            <w:tcMar>
              <w:top w:w="80" w:type="dxa"/>
              <w:start w:w="90" w:type="dxa"/>
              <w:bottom w:w="80" w:type="dxa"/>
              <w:end w:w="90" w:type="dxa"/>
            </w:tcMar>
          </w:tcPr>
          <w:p>
            <w:pPr>
              <w:spacing w:after="0" w:before="0"/>
            </w:pPr>
            <w:r>
              <w:rPr>
                <w:sz w:val="17"/>
              </w:rPr>
              <w:t>Task ordering</w:t>
            </w:r>
          </w:p>
        </w:tc>
        <w:tc>
          <w:tcPr>
            <w:tcW w:type="dxa" w:w="7200"/>
            <w:vAlign w:val="center"/>
            <w:tcMar>
              <w:top w:w="80" w:type="dxa"/>
              <w:start w:w="90" w:type="dxa"/>
              <w:bottom w:w="80" w:type="dxa"/>
              <w:end w:w="90" w:type="dxa"/>
            </w:tcMar>
          </w:tcPr>
          <w:p>
            <w:pPr>
              <w:spacing w:after="0" w:before="0"/>
            </w:pPr>
            <w:r>
              <w:rPr>
                <w:sz w:val="17"/>
              </w:rPr>
              <w:t>Sort ready work by declared priority, then deadline/readiness; no global objective over the whole affected model.</w:t>
            </w:r>
          </w:p>
        </w:tc>
      </w:tr>
      <w:tr>
        <w:tc>
          <w:tcPr>
            <w:tcW w:type="dxa" w:w="2880"/>
            <w:vAlign w:val="center"/>
            <w:tcMar>
              <w:top w:w="80" w:type="dxa"/>
              <w:start w:w="90" w:type="dxa"/>
              <w:bottom w:w="80" w:type="dxa"/>
              <w:end w:w="90" w:type="dxa"/>
            </w:tcMar>
          </w:tcPr>
          <w:p>
            <w:pPr>
              <w:spacing w:after="0" w:before="0"/>
            </w:pPr>
            <w:r>
              <w:rPr>
                <w:sz w:val="17"/>
              </w:rPr>
              <w:t>Assignment</w:t>
            </w:r>
          </w:p>
        </w:tc>
        <w:tc>
          <w:tcPr>
            <w:tcW w:type="dxa" w:w="7200"/>
            <w:vAlign w:val="center"/>
            <w:tcMar>
              <w:top w:w="80" w:type="dxa"/>
              <w:start w:w="90" w:type="dxa"/>
              <w:bottom w:w="80" w:type="dxa"/>
              <w:end w:w="90" w:type="dxa"/>
            </w:tcMar>
          </w:tcPr>
          <w:p>
            <w:pPr>
              <w:spacing w:after="0" w:before="0"/>
            </w:pPr>
            <w:r>
              <w:rPr>
                <w:sz w:val="17"/>
              </w:rPr>
              <w:t>Greedily choose the highest-ranked eligible/familiar employee who appears to have enough remaining aggregate capacity before the deadline. Do not intentionally assign an ineligible person, but do not use global constraint solving to prove the whole combination feasible.</w:t>
            </w:r>
          </w:p>
        </w:tc>
      </w:tr>
      <w:tr>
        <w:tc>
          <w:tcPr>
            <w:tcW w:type="dxa" w:w="2880"/>
            <w:vAlign w:val="center"/>
            <w:tcMar>
              <w:top w:w="80" w:type="dxa"/>
              <w:start w:w="90" w:type="dxa"/>
              <w:bottom w:w="80" w:type="dxa"/>
              <w:end w:w="90" w:type="dxa"/>
            </w:tcMar>
          </w:tcPr>
          <w:p>
            <w:pPr>
              <w:spacing w:after="0" w:before="0"/>
            </w:pPr>
            <w:r>
              <w:rPr>
                <w:sz w:val="17"/>
              </w:rPr>
              <w:t>Scheduling</w:t>
            </w:r>
          </w:p>
        </w:tc>
        <w:tc>
          <w:tcPr>
            <w:tcW w:type="dxa" w:w="7200"/>
            <w:vAlign w:val="center"/>
            <w:tcMar>
              <w:top w:w="80" w:type="dxa"/>
              <w:start w:w="90" w:type="dxa"/>
              <w:bottom w:w="80" w:type="dxa"/>
              <w:end w:w="90" w:type="dxa"/>
            </w:tcMar>
          </w:tcPr>
          <w:p>
            <w:pPr>
              <w:spacing w:after="0" w:before="0"/>
            </w:pPr>
            <w:r>
              <w:rPr>
                <w:sz w:val="17"/>
              </w:rPr>
              <w:t>Place work at the earliest locally available slot/window. Resolve discovered collisions one at a time and push affected downstream work forward.</w:t>
            </w:r>
          </w:p>
        </w:tc>
      </w:tr>
      <w:tr>
        <w:tc>
          <w:tcPr>
            <w:tcW w:type="dxa" w:w="2880"/>
            <w:vAlign w:val="center"/>
            <w:tcMar>
              <w:top w:w="80" w:type="dxa"/>
              <w:start w:w="90" w:type="dxa"/>
              <w:bottom w:w="80" w:type="dxa"/>
              <w:end w:w="90" w:type="dxa"/>
            </w:tcMar>
          </w:tcPr>
          <w:p>
            <w:pPr>
              <w:spacing w:after="0" w:before="0"/>
            </w:pPr>
            <w:r>
              <w:rPr>
                <w:sz w:val="17"/>
              </w:rPr>
              <w:t>Replanning</w:t>
            </w:r>
          </w:p>
        </w:tc>
        <w:tc>
          <w:tcPr>
            <w:tcW w:type="dxa" w:w="7200"/>
            <w:vAlign w:val="center"/>
            <w:tcMar>
              <w:top w:w="80" w:type="dxa"/>
              <w:start w:w="90" w:type="dxa"/>
              <w:bottom w:w="80" w:type="dxa"/>
              <w:end w:w="90" w:type="dxa"/>
            </w:tcMar>
          </w:tcPr>
          <w:p>
            <w:pPr>
              <w:spacing w:after="0" w:before="0"/>
            </w:pPr>
            <w:r>
              <w:rPr>
                <w:sz w:val="17"/>
              </w:rPr>
              <w:t>When a later conflict appears, locally move/reassign the conflicting task and propagate the consequences; repeat until stable or an iteration cap is reached.</w:t>
            </w:r>
          </w:p>
        </w:tc>
      </w:tr>
      <w:tr>
        <w:tc>
          <w:tcPr>
            <w:tcW w:type="dxa" w:w="2880"/>
            <w:vAlign w:val="center"/>
            <w:tcMar>
              <w:top w:w="80" w:type="dxa"/>
              <w:start w:w="90" w:type="dxa"/>
              <w:bottom w:w="80" w:type="dxa"/>
              <w:end w:w="90" w:type="dxa"/>
            </w:tcMar>
          </w:tcPr>
          <w:p>
            <w:pPr>
              <w:spacing w:after="0" w:before="0"/>
            </w:pPr>
            <w:r>
              <w:rPr>
                <w:sz w:val="17"/>
              </w:rPr>
              <w:t>Coordination</w:t>
            </w:r>
          </w:p>
        </w:tc>
        <w:tc>
          <w:tcPr>
            <w:tcW w:type="dxa" w:w="7200"/>
            <w:vAlign w:val="center"/>
            <w:tcMar>
              <w:top w:w="80" w:type="dxa"/>
              <w:start w:w="90" w:type="dxa"/>
              <w:bottom w:w="80" w:type="dxa"/>
              <w:end w:w="90" w:type="dxa"/>
            </w:tcMar>
          </w:tcPr>
          <w:p>
            <w:pPr>
              <w:spacing w:after="0" w:before="0"/>
            </w:pPr>
            <w:r>
              <w:rPr>
                <w:sz w:val="17"/>
              </w:rPr>
              <w:t>Model conventional relay through manager/team/project relationships: originator → relevant lead(s) → affected employee(s), with additional relays when conflicts or approvals are discovered.</w:t>
            </w:r>
          </w:p>
        </w:tc>
      </w:tr>
      <w:tr>
        <w:tc>
          <w:tcPr>
            <w:tcW w:type="dxa" w:w="2880"/>
            <w:vAlign w:val="center"/>
            <w:tcMar>
              <w:top w:w="80" w:type="dxa"/>
              <w:start w:w="90" w:type="dxa"/>
              <w:bottom w:w="80" w:type="dxa"/>
              <w:end w:w="90" w:type="dxa"/>
            </w:tcMar>
          </w:tcPr>
          <w:p>
            <w:pPr>
              <w:spacing w:after="0" w:before="0"/>
            </w:pPr>
            <w:r>
              <w:rPr>
                <w:sz w:val="17"/>
              </w:rPr>
              <w:t>Verification</w:t>
            </w:r>
          </w:p>
        </w:tc>
        <w:tc>
          <w:tcPr>
            <w:tcW w:type="dxa" w:w="7200"/>
            <w:vAlign w:val="center"/>
            <w:tcMar>
              <w:top w:w="80" w:type="dxa"/>
              <w:start w:w="90" w:type="dxa"/>
              <w:bottom w:w="80" w:type="dxa"/>
              <w:end w:w="90" w:type="dxa"/>
            </w:tcMar>
          </w:tcPr>
          <w:p>
            <w:pPr>
              <w:spacing w:after="0" w:before="0"/>
            </w:pPr>
            <w:r>
              <w:rPr>
                <w:sz w:val="17"/>
              </w:rPr>
              <w:t>No Z3 global feasibility/optimization proof and no minimal-disruption objective. After the run, use the same neutral independent validator to score the final plan; the baseline does not get to use that validator to iteratively repair itself.</w:t>
            </w:r>
          </w:p>
        </w:tc>
      </w:tr>
      <w:tr>
        <w:tc>
          <w:tcPr>
            <w:tcW w:type="dxa" w:w="2880"/>
            <w:vAlign w:val="center"/>
            <w:tcMar>
              <w:top w:w="80" w:type="dxa"/>
              <w:start w:w="90" w:type="dxa"/>
              <w:bottom w:w="80" w:type="dxa"/>
              <w:end w:w="90" w:type="dxa"/>
            </w:tcMar>
          </w:tcPr>
          <w:p>
            <w:pPr>
              <w:spacing w:after="0" w:before="0"/>
            </w:pPr>
            <w:r>
              <w:rPr>
                <w:sz w:val="17"/>
              </w:rPr>
              <w:t>Privacy</w:t>
            </w:r>
          </w:p>
        </w:tc>
        <w:tc>
          <w:tcPr>
            <w:tcW w:type="dxa" w:w="7200"/>
            <w:vAlign w:val="center"/>
            <w:tcMar>
              <w:top w:w="80" w:type="dxa"/>
              <w:start w:w="90" w:type="dxa"/>
              <w:bottom w:w="80" w:type="dxa"/>
              <w:end w:w="90" w:type="dxa"/>
            </w:tcMar>
          </w:tcPr>
          <w:p>
            <w:pPr>
              <w:spacing w:after="0" w:before="0"/>
            </w:pPr>
            <w:r>
              <w:rPr>
                <w:sz w:val="17"/>
              </w:rPr>
              <w:t>Use the same permission-filtered input facts as Coordination Engine. Do not deliberately leak confidential data just to make the baseline look worse.</w:t>
            </w:r>
          </w:p>
        </w:tc>
      </w:tr>
    </w:tbl>
    <w:p>
      <w:pPr>
        <w:pStyle w:val="SmallNote"/>
      </w:pPr>
      <w:r>
        <w:t>Optional ablation: if time remains, also run an LLM-only planner on the same permission-filtered inputs. Label it an ablation of the verification/planning stack, not a market competitor. The deterministic greedy baseline above is the required comparison because it is reproducible.</w:t>
      </w:r>
    </w:p>
    <w:p>
      <w:pPr>
        <w:pStyle w:val="Heading2"/>
      </w:pPr>
      <w:r>
        <w:t>9.3 What to measure: Coordination Engine vs naive coordinator</w:t>
      </w:r>
    </w:p>
    <w:p>
      <w:pPr/>
      <w:r>
        <w:t>Every metric below must be computed from logs/ground truth, not hand-entered for the pitch. Run both approaches on the same seeded scenario and validate both final plans with the same independent checker. Report raw counts as well as percentages so a small denominator is visible.</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54D"/>
            <w:vAlign w:val="center"/>
            <w:tcMar>
              <w:top w:w="80" w:type="dxa"/>
              <w:start w:w="90" w:type="dxa"/>
              <w:bottom w:w="80" w:type="dxa"/>
              <w:end w:w="90" w:type="dxa"/>
            </w:tcMar>
          </w:tcPr>
          <w:p>
            <w:pPr>
              <w:spacing w:after="0" w:before="0"/>
            </w:pPr>
            <w:r>
              <w:rPr>
                <w:b/>
                <w:color w:val="FFFFFF"/>
                <w:sz w:val="17"/>
              </w:rPr>
              <w:t>Metric</w:t>
            </w:r>
          </w:p>
        </w:tc>
        <w:tc>
          <w:tcPr>
            <w:tcW w:type="dxa" w:w="4608"/>
            <w:shd w:fill="17354D"/>
            <w:vAlign w:val="center"/>
            <w:tcMar>
              <w:top w:w="80" w:type="dxa"/>
              <w:start w:w="90" w:type="dxa"/>
              <w:bottom w:w="80" w:type="dxa"/>
              <w:end w:w="90" w:type="dxa"/>
            </w:tcMar>
          </w:tcPr>
          <w:p>
            <w:pPr>
              <w:spacing w:after="0" w:before="0"/>
            </w:pPr>
            <w:r>
              <w:rPr>
                <w:b/>
                <w:color w:val="FFFFFF"/>
                <w:sz w:val="17"/>
              </w:rPr>
              <w:t>Exact measurement</w:t>
            </w:r>
          </w:p>
        </w:tc>
        <w:tc>
          <w:tcPr>
            <w:tcW w:type="dxa" w:w="3312"/>
            <w:shd w:fill="17354D"/>
            <w:vAlign w:val="center"/>
            <w:tcMar>
              <w:top w:w="80" w:type="dxa"/>
              <w:start w:w="90" w:type="dxa"/>
              <w:bottom w:w="80" w:type="dxa"/>
              <w:end w:w="90" w:type="dxa"/>
            </w:tcMar>
          </w:tcPr>
          <w:p>
            <w:pPr>
              <w:spacing w:after="0" w:before="0"/>
            </w:pPr>
            <w:r>
              <w:rPr>
                <w:b/>
                <w:color w:val="FFFFFF"/>
                <w:sz w:val="17"/>
              </w:rPr>
              <w:t>Why it matters</w:t>
            </w:r>
          </w:p>
        </w:tc>
      </w:tr>
      <w:tr>
        <w:tc>
          <w:tcPr>
            <w:tcW w:type="dxa" w:w="2232"/>
            <w:vAlign w:val="center"/>
            <w:tcMar>
              <w:top w:w="80" w:type="dxa"/>
              <w:start w:w="90" w:type="dxa"/>
              <w:bottom w:w="80" w:type="dxa"/>
              <w:end w:w="90" w:type="dxa"/>
            </w:tcMar>
          </w:tcPr>
          <w:p>
            <w:pPr>
              <w:spacing w:after="0" w:before="0"/>
            </w:pPr>
            <w:r>
              <w:rPr>
                <w:sz w:val="17"/>
              </w:rPr>
              <w:t>Existing commitments changed</w:t>
            </w:r>
          </w:p>
        </w:tc>
        <w:tc>
          <w:tcPr>
            <w:tcW w:type="dxa" w:w="4608"/>
            <w:vAlign w:val="center"/>
            <w:tcMar>
              <w:top w:w="80" w:type="dxa"/>
              <w:start w:w="90" w:type="dxa"/>
              <w:bottom w:w="80" w:type="dxa"/>
              <w:end w:w="90" w:type="dxa"/>
            </w:tcMar>
          </w:tcPr>
          <w:p>
            <w:pPr>
              <w:spacing w:after="0" w:before="0"/>
            </w:pPr>
            <w:r>
              <w:rPr>
                <w:sz w:val="17"/>
              </w:rPr>
              <w:t>Count distinct pre-existing tasks/blocks whose owner, start/end, deadline, protection state or cancellation status changes. Also report by change type.</w:t>
            </w:r>
          </w:p>
        </w:tc>
        <w:tc>
          <w:tcPr>
            <w:tcW w:type="dxa" w:w="3312"/>
            <w:vAlign w:val="center"/>
            <w:tcMar>
              <w:top w:w="80" w:type="dxa"/>
              <w:start w:w="90" w:type="dxa"/>
              <w:bottom w:w="80" w:type="dxa"/>
              <w:end w:w="90" w:type="dxa"/>
            </w:tcMar>
          </w:tcPr>
          <w:p>
            <w:pPr>
              <w:spacing w:after="0" w:before="0"/>
            </w:pPr>
            <w:r>
              <w:rPr>
                <w:sz w:val="17"/>
              </w:rPr>
              <w:t>Primary disruption metric: does the repair disturb less existing work?</w:t>
            </w:r>
          </w:p>
        </w:tc>
      </w:tr>
      <w:tr>
        <w:tc>
          <w:tcPr>
            <w:tcW w:type="dxa" w:w="2232"/>
            <w:vAlign w:val="center"/>
            <w:tcMar>
              <w:top w:w="80" w:type="dxa"/>
              <w:start w:w="90" w:type="dxa"/>
              <w:bottom w:w="80" w:type="dxa"/>
              <w:end w:w="90" w:type="dxa"/>
            </w:tcMar>
          </w:tcPr>
          <w:p>
            <w:pPr>
              <w:spacing w:after="0" w:before="0"/>
            </w:pPr>
            <w:r>
              <w:rPr>
                <w:sz w:val="17"/>
              </w:rPr>
              <w:t>Owner churn</w:t>
            </w:r>
          </w:p>
        </w:tc>
        <w:tc>
          <w:tcPr>
            <w:tcW w:type="dxa" w:w="4608"/>
            <w:vAlign w:val="center"/>
            <w:tcMar>
              <w:top w:w="80" w:type="dxa"/>
              <w:start w:w="90" w:type="dxa"/>
              <w:bottom w:w="80" w:type="dxa"/>
              <w:end w:w="90" w:type="dxa"/>
            </w:tcMar>
          </w:tcPr>
          <w:p>
            <w:pPr>
              <w:spacing w:after="0" w:before="0"/>
            </w:pPr>
            <w:r>
              <w:rPr>
                <w:sz w:val="17"/>
              </w:rPr>
              <w:t>Count pre-existing tasks assigned to a different owner.</w:t>
            </w:r>
          </w:p>
        </w:tc>
        <w:tc>
          <w:tcPr>
            <w:tcW w:type="dxa" w:w="3312"/>
            <w:vAlign w:val="center"/>
            <w:tcMar>
              <w:top w:w="80" w:type="dxa"/>
              <w:start w:w="90" w:type="dxa"/>
              <w:bottom w:w="80" w:type="dxa"/>
              <w:end w:w="90" w:type="dxa"/>
            </w:tcMar>
          </w:tcPr>
          <w:p>
            <w:pPr>
              <w:spacing w:after="0" w:before="0"/>
            </w:pPr>
            <w:r>
              <w:rPr>
                <w:sz w:val="17"/>
              </w:rPr>
              <w:t>Reassignment creates handoff/context-switch cost.</w:t>
            </w:r>
          </w:p>
        </w:tc>
      </w:tr>
      <w:tr>
        <w:tc>
          <w:tcPr>
            <w:tcW w:type="dxa" w:w="2232"/>
            <w:vAlign w:val="center"/>
            <w:tcMar>
              <w:top w:w="80" w:type="dxa"/>
              <w:start w:w="90" w:type="dxa"/>
              <w:bottom w:w="80" w:type="dxa"/>
              <w:end w:w="90" w:type="dxa"/>
            </w:tcMar>
          </w:tcPr>
          <w:p>
            <w:pPr>
              <w:spacing w:after="0" w:before="0"/>
            </w:pPr>
            <w:r>
              <w:rPr>
                <w:sz w:val="17"/>
              </w:rPr>
              <w:t>Schedule displacement</w:t>
            </w:r>
          </w:p>
        </w:tc>
        <w:tc>
          <w:tcPr>
            <w:tcW w:type="dxa" w:w="4608"/>
            <w:vAlign w:val="center"/>
            <w:tcMar>
              <w:top w:w="80" w:type="dxa"/>
              <w:start w:w="90" w:type="dxa"/>
              <w:bottom w:w="80" w:type="dxa"/>
              <w:end w:w="90" w:type="dxa"/>
            </w:tcMar>
          </w:tcPr>
          <w:p>
            <w:pPr>
              <w:spacing w:after="0" w:before="0"/>
            </w:pPr>
            <w:r>
              <w:rPr>
                <w:sz w:val="17"/>
              </w:rPr>
              <w:t>Sum absolute minutes that existing committed work shifts in time; report median/max as well as total.</w:t>
            </w:r>
          </w:p>
        </w:tc>
        <w:tc>
          <w:tcPr>
            <w:tcW w:type="dxa" w:w="3312"/>
            <w:vAlign w:val="center"/>
            <w:tcMar>
              <w:top w:w="80" w:type="dxa"/>
              <w:start w:w="90" w:type="dxa"/>
              <w:bottom w:w="80" w:type="dxa"/>
              <w:end w:w="90" w:type="dxa"/>
            </w:tcMar>
          </w:tcPr>
          <w:p>
            <w:pPr>
              <w:spacing w:after="0" w:before="0"/>
            </w:pPr>
            <w:r>
              <w:rPr>
                <w:sz w:val="17"/>
              </w:rPr>
              <w:t>Captures disruption even when owners stay the same.</w:t>
            </w:r>
          </w:p>
        </w:tc>
      </w:tr>
      <w:tr>
        <w:tc>
          <w:tcPr>
            <w:tcW w:type="dxa" w:w="2232"/>
            <w:vAlign w:val="center"/>
            <w:tcMar>
              <w:top w:w="80" w:type="dxa"/>
              <w:start w:w="90" w:type="dxa"/>
              <w:bottom w:w="80" w:type="dxa"/>
              <w:end w:w="90" w:type="dxa"/>
            </w:tcMar>
          </w:tcPr>
          <w:p>
            <w:pPr>
              <w:spacing w:after="0" w:before="0"/>
            </w:pPr>
            <w:r>
              <w:rPr>
                <w:sz w:val="17"/>
              </w:rPr>
              <w:t>Preservation rate</w:t>
            </w:r>
          </w:p>
        </w:tc>
        <w:tc>
          <w:tcPr>
            <w:tcW w:type="dxa" w:w="4608"/>
            <w:vAlign w:val="center"/>
            <w:tcMar>
              <w:top w:w="80" w:type="dxa"/>
              <w:start w:w="90" w:type="dxa"/>
              <w:bottom w:w="80" w:type="dxa"/>
              <w:end w:w="90" w:type="dxa"/>
            </w:tcMar>
          </w:tcPr>
          <w:p>
            <w:pPr>
              <w:spacing w:after="0" w:before="0"/>
            </w:pPr>
            <w:r>
              <w:rPr>
                <w:sz w:val="17"/>
              </w:rPr>
              <w:t>Pre-existing affected commitments left unchanged ÷ pre-existing affected commitments considered.</w:t>
            </w:r>
          </w:p>
        </w:tc>
        <w:tc>
          <w:tcPr>
            <w:tcW w:type="dxa" w:w="3312"/>
            <w:vAlign w:val="center"/>
            <w:tcMar>
              <w:top w:w="80" w:type="dxa"/>
              <w:start w:w="90" w:type="dxa"/>
              <w:bottom w:w="80" w:type="dxa"/>
              <w:end w:w="90" w:type="dxa"/>
            </w:tcMar>
          </w:tcPr>
          <w:p>
            <w:pPr>
              <w:spacing w:after="0" w:before="0"/>
            </w:pPr>
            <w:r>
              <w:rPr>
                <w:sz w:val="17"/>
              </w:rPr>
              <w:t>Positive version of the disruption metric.</w:t>
            </w:r>
          </w:p>
        </w:tc>
      </w:tr>
      <w:tr>
        <w:tc>
          <w:tcPr>
            <w:tcW w:type="dxa" w:w="2232"/>
            <w:vAlign w:val="center"/>
            <w:tcMar>
              <w:top w:w="80" w:type="dxa"/>
              <w:start w:w="90" w:type="dxa"/>
              <w:bottom w:w="80" w:type="dxa"/>
              <w:end w:w="90" w:type="dxa"/>
            </w:tcMar>
          </w:tcPr>
          <w:p>
            <w:pPr>
              <w:spacing w:after="0" w:before="0"/>
            </w:pPr>
            <w:r>
              <w:rPr>
                <w:sz w:val="17"/>
              </w:rPr>
              <w:t>Replan iterations / plan versions</w:t>
            </w:r>
          </w:p>
        </w:tc>
        <w:tc>
          <w:tcPr>
            <w:tcW w:type="dxa" w:w="4608"/>
            <w:vAlign w:val="center"/>
            <w:tcMar>
              <w:top w:w="80" w:type="dxa"/>
              <w:start w:w="90" w:type="dxa"/>
              <w:bottom w:w="80" w:type="dxa"/>
              <w:end w:w="90" w:type="dxa"/>
            </w:tcMar>
          </w:tcPr>
          <w:p>
            <w:pPr>
              <w:spacing w:after="0" w:before="0"/>
            </w:pPr>
            <w:r>
              <w:rPr>
                <w:sz w:val="17"/>
              </w:rPr>
              <w:t>Number of planning attempts, local conflict-repair cycles or regenerated plan versions before a valid commit or terminal failure.</w:t>
            </w:r>
          </w:p>
        </w:tc>
        <w:tc>
          <w:tcPr>
            <w:tcW w:type="dxa" w:w="3312"/>
            <w:vAlign w:val="center"/>
            <w:tcMar>
              <w:top w:w="80" w:type="dxa"/>
              <w:start w:w="90" w:type="dxa"/>
              <w:bottom w:w="80" w:type="dxa"/>
              <w:end w:w="90" w:type="dxa"/>
            </w:tcMar>
          </w:tcPr>
          <w:p>
            <w:pPr>
              <w:spacing w:after="0" w:before="0"/>
            </w:pPr>
            <w:r>
              <w:rPr>
                <w:sz w:val="17"/>
              </w:rPr>
              <w:t>Tests whether local greedy decisions create repeated cascades.</w:t>
            </w:r>
          </w:p>
        </w:tc>
      </w:tr>
      <w:tr>
        <w:tc>
          <w:tcPr>
            <w:tcW w:type="dxa" w:w="2232"/>
            <w:vAlign w:val="center"/>
            <w:tcMar>
              <w:top w:w="80" w:type="dxa"/>
              <w:start w:w="90" w:type="dxa"/>
              <w:bottom w:w="80" w:type="dxa"/>
              <w:end w:w="90" w:type="dxa"/>
            </w:tcMar>
          </w:tcPr>
          <w:p>
            <w:pPr>
              <w:spacing w:after="0" w:before="0"/>
            </w:pPr>
            <w:r>
              <w:rPr>
                <w:sz w:val="17"/>
              </w:rPr>
              <w:t>Late conflict discoveries</w:t>
            </w:r>
          </w:p>
        </w:tc>
        <w:tc>
          <w:tcPr>
            <w:tcW w:type="dxa" w:w="4608"/>
            <w:vAlign w:val="center"/>
            <w:tcMar>
              <w:top w:w="80" w:type="dxa"/>
              <w:start w:w="90" w:type="dxa"/>
              <w:bottom w:w="80" w:type="dxa"/>
              <w:end w:w="90" w:type="dxa"/>
            </w:tcMar>
          </w:tcPr>
          <w:p>
            <w:pPr>
              <w:spacing w:after="0" w:before="0"/>
            </w:pPr>
            <w:r>
              <w:rPr>
                <w:sz w:val="17"/>
              </w:rPr>
              <w:t>Count conflicts first detected after at least one downstream assignment/change has already been proposed.</w:t>
            </w:r>
          </w:p>
        </w:tc>
        <w:tc>
          <w:tcPr>
            <w:tcW w:type="dxa" w:w="3312"/>
            <w:vAlign w:val="center"/>
            <w:tcMar>
              <w:top w:w="80" w:type="dxa"/>
              <w:start w:w="90" w:type="dxa"/>
              <w:bottom w:w="80" w:type="dxa"/>
              <w:end w:w="90" w:type="dxa"/>
            </w:tcMar>
          </w:tcPr>
          <w:p>
            <w:pPr>
              <w:spacing w:after="0" w:before="0"/>
            </w:pPr>
            <w:r>
              <w:rPr>
                <w:sz w:val="17"/>
              </w:rPr>
              <w:t>Shows avoidable backtracking/coordination churn.</w:t>
            </w:r>
          </w:p>
        </w:tc>
      </w:tr>
      <w:tr>
        <w:tc>
          <w:tcPr>
            <w:tcW w:type="dxa" w:w="2232"/>
            <w:vAlign w:val="center"/>
            <w:tcMar>
              <w:top w:w="80" w:type="dxa"/>
              <w:start w:w="90" w:type="dxa"/>
              <w:bottom w:w="80" w:type="dxa"/>
              <w:end w:w="90" w:type="dxa"/>
            </w:tcMar>
          </w:tcPr>
          <w:p>
            <w:pPr>
              <w:spacing w:after="0" w:before="0"/>
            </w:pPr>
            <w:r>
              <w:rPr>
                <w:sz w:val="17"/>
              </w:rPr>
              <w:t>People contacted / interrupted</w:t>
            </w:r>
          </w:p>
        </w:tc>
        <w:tc>
          <w:tcPr>
            <w:tcW w:type="dxa" w:w="4608"/>
            <w:vAlign w:val="center"/>
            <w:tcMar>
              <w:top w:w="80" w:type="dxa"/>
              <w:start w:w="90" w:type="dxa"/>
              <w:bottom w:w="80" w:type="dxa"/>
              <w:end w:w="90" w:type="dxa"/>
            </w:tcMar>
          </w:tcPr>
          <w:p>
            <w:pPr>
              <w:spacing w:after="0" w:before="0"/>
            </w:pPr>
            <w:r>
              <w:rPr>
                <w:sz w:val="17"/>
              </w:rPr>
              <w:t>Number of unique employees/managers who receive a coordination message, clarification, approval request or changed-task notice.</w:t>
            </w:r>
          </w:p>
        </w:tc>
        <w:tc>
          <w:tcPr>
            <w:tcW w:type="dxa" w:w="3312"/>
            <w:vAlign w:val="center"/>
            <w:tcMar>
              <w:top w:w="80" w:type="dxa"/>
              <w:start w:w="90" w:type="dxa"/>
              <w:bottom w:w="80" w:type="dxa"/>
              <w:end w:w="90" w:type="dxa"/>
            </w:tcMar>
          </w:tcPr>
          <w:p>
            <w:pPr>
              <w:spacing w:after="0" w:before="0"/>
            </w:pPr>
            <w:r>
              <w:rPr>
                <w:sz w:val="17"/>
              </w:rPr>
              <w:t>Proxy for coordination burden; fewer irrelevant interruptions is better.</w:t>
            </w:r>
          </w:p>
        </w:tc>
      </w:tr>
      <w:tr>
        <w:tc>
          <w:tcPr>
            <w:tcW w:type="dxa" w:w="2232"/>
            <w:vAlign w:val="center"/>
            <w:tcMar>
              <w:top w:w="80" w:type="dxa"/>
              <w:start w:w="90" w:type="dxa"/>
              <w:bottom w:w="80" w:type="dxa"/>
              <w:end w:w="90" w:type="dxa"/>
            </w:tcMar>
          </w:tcPr>
          <w:p>
            <w:pPr>
              <w:spacing w:after="0" w:before="0"/>
            </w:pPr>
            <w:r>
              <w:rPr>
                <w:sz w:val="17"/>
              </w:rPr>
              <w:t>Coordination relay hops</w:t>
            </w:r>
          </w:p>
        </w:tc>
        <w:tc>
          <w:tcPr>
            <w:tcW w:type="dxa" w:w="4608"/>
            <w:vAlign w:val="center"/>
            <w:tcMar>
              <w:top w:w="80" w:type="dxa"/>
              <w:start w:w="90" w:type="dxa"/>
              <w:bottom w:w="80" w:type="dxa"/>
              <w:end w:w="90" w:type="dxa"/>
            </w:tcMar>
          </w:tcPr>
          <w:p>
            <w:pPr>
              <w:spacing w:after="0" w:before="0"/>
            </w:pPr>
            <w:r>
              <w:rPr>
                <w:sz w:val="17"/>
              </w:rPr>
              <w:t>For each material change fact, count human-to-human/reporting edges traversed before it reaches the person who must act; sum across the scenario. Coordination Engine direct authorized notifications normally count as one delivery to each target.</w:t>
            </w:r>
          </w:p>
        </w:tc>
        <w:tc>
          <w:tcPr>
            <w:tcW w:type="dxa" w:w="3312"/>
            <w:vAlign w:val="center"/>
            <w:tcMar>
              <w:top w:w="80" w:type="dxa"/>
              <w:start w:w="90" w:type="dxa"/>
              <w:bottom w:w="80" w:type="dxa"/>
              <w:end w:w="90" w:type="dxa"/>
            </w:tcMar>
          </w:tcPr>
          <w:p>
            <w:pPr>
              <w:spacing w:after="0" w:before="0"/>
            </w:pPr>
            <w:r>
              <w:rPr>
                <w:sz w:val="17"/>
              </w:rPr>
              <w:t>Captures “passing the same information through people just to reach the right person.”</w:t>
            </w:r>
          </w:p>
        </w:tc>
      </w:tr>
      <w:tr>
        <w:tc>
          <w:tcPr>
            <w:tcW w:type="dxa" w:w="2232"/>
            <w:vAlign w:val="center"/>
            <w:tcMar>
              <w:top w:w="80" w:type="dxa"/>
              <w:start w:w="90" w:type="dxa"/>
              <w:bottom w:w="80" w:type="dxa"/>
              <w:end w:w="90" w:type="dxa"/>
            </w:tcMar>
          </w:tcPr>
          <w:p>
            <w:pPr>
              <w:spacing w:after="0" w:before="0"/>
            </w:pPr>
            <w:r>
              <w:rPr>
                <w:sz w:val="17"/>
              </w:rPr>
              <w:t>Duplicate information transmissions</w:t>
            </w:r>
          </w:p>
        </w:tc>
        <w:tc>
          <w:tcPr>
            <w:tcW w:type="dxa" w:w="4608"/>
            <w:vAlign w:val="center"/>
            <w:tcMar>
              <w:top w:w="80" w:type="dxa"/>
              <w:start w:w="90" w:type="dxa"/>
              <w:bottom w:w="80" w:type="dxa"/>
              <w:end w:w="90" w:type="dxa"/>
            </w:tcMar>
          </w:tcPr>
          <w:p>
            <w:pPr>
              <w:spacing w:after="0" w:before="0"/>
            </w:pPr>
            <w:r>
              <w:rPr>
                <w:sz w:val="17"/>
              </w:rPr>
              <w:t>Count repeated deliveries/forwards of the same normalized change fact to intermediaries or the same recipient before final action.</w:t>
            </w:r>
          </w:p>
        </w:tc>
        <w:tc>
          <w:tcPr>
            <w:tcW w:type="dxa" w:w="3312"/>
            <w:vAlign w:val="center"/>
            <w:tcMar>
              <w:top w:w="80" w:type="dxa"/>
              <w:start w:w="90" w:type="dxa"/>
              <w:bottom w:w="80" w:type="dxa"/>
              <w:end w:w="90" w:type="dxa"/>
            </w:tcMar>
          </w:tcPr>
          <w:p>
            <w:pPr>
              <w:spacing w:after="0" w:before="0"/>
            </w:pPr>
            <w:r>
              <w:rPr>
                <w:sz w:val="17"/>
              </w:rPr>
              <w:t>Measures redundant communication rather than just unique recipients.</w:t>
            </w:r>
          </w:p>
        </w:tc>
      </w:tr>
      <w:tr>
        <w:tc>
          <w:tcPr>
            <w:tcW w:type="dxa" w:w="2232"/>
            <w:vAlign w:val="center"/>
            <w:tcMar>
              <w:top w:w="80" w:type="dxa"/>
              <w:start w:w="90" w:type="dxa"/>
              <w:bottom w:w="80" w:type="dxa"/>
              <w:end w:w="90" w:type="dxa"/>
            </w:tcMar>
          </w:tcPr>
          <w:p>
            <w:pPr>
              <w:spacing w:after="0" w:before="0"/>
            </w:pPr>
            <w:r>
              <w:rPr>
                <w:sz w:val="17"/>
              </w:rPr>
              <w:t>Clarifications / approvals</w:t>
            </w:r>
          </w:p>
        </w:tc>
        <w:tc>
          <w:tcPr>
            <w:tcW w:type="dxa" w:w="4608"/>
            <w:vAlign w:val="center"/>
            <w:tcMar>
              <w:top w:w="80" w:type="dxa"/>
              <w:start w:w="90" w:type="dxa"/>
              <w:bottom w:w="80" w:type="dxa"/>
              <w:end w:w="90" w:type="dxa"/>
            </w:tcMar>
          </w:tcPr>
          <w:p>
            <w:pPr>
              <w:spacing w:after="0" w:before="0"/>
            </w:pPr>
            <w:r>
              <w:rPr>
                <w:sz w:val="17"/>
              </w:rPr>
              <w:t>Count manager clarification questions plus required approval decisions. Separate necessary approvals from avoidable questions caused by missing/late context.</w:t>
            </w:r>
          </w:p>
        </w:tc>
        <w:tc>
          <w:tcPr>
            <w:tcW w:type="dxa" w:w="3312"/>
            <w:vAlign w:val="center"/>
            <w:tcMar>
              <w:top w:w="80" w:type="dxa"/>
              <w:start w:w="90" w:type="dxa"/>
              <w:bottom w:w="80" w:type="dxa"/>
              <w:end w:w="90" w:type="dxa"/>
            </w:tcMar>
          </w:tcPr>
          <w:p>
            <w:pPr>
              <w:spacing w:after="0" w:before="0"/>
            </w:pPr>
            <w:r>
              <w:rPr>
                <w:sz w:val="17"/>
              </w:rPr>
              <w:t>Human attention should be reserved for ambiguity and authority, not reconstruction.</w:t>
            </w:r>
          </w:p>
        </w:tc>
      </w:tr>
      <w:tr>
        <w:tc>
          <w:tcPr>
            <w:tcW w:type="dxa" w:w="2232"/>
            <w:vAlign w:val="center"/>
            <w:tcMar>
              <w:top w:w="80" w:type="dxa"/>
              <w:start w:w="90" w:type="dxa"/>
              <w:bottom w:w="80" w:type="dxa"/>
              <w:end w:w="90" w:type="dxa"/>
            </w:tcMar>
          </w:tcPr>
          <w:p>
            <w:pPr>
              <w:spacing w:after="0" w:before="0"/>
            </w:pPr>
            <w:r>
              <w:rPr>
                <w:sz w:val="17"/>
              </w:rPr>
              <w:t>Invalid task delegations</w:t>
            </w:r>
          </w:p>
        </w:tc>
        <w:tc>
          <w:tcPr>
            <w:tcW w:type="dxa" w:w="4608"/>
            <w:vAlign w:val="center"/>
            <w:tcMar>
              <w:top w:w="80" w:type="dxa"/>
              <w:start w:w="90" w:type="dxa"/>
              <w:bottom w:w="80" w:type="dxa"/>
              <w:end w:w="90" w:type="dxa"/>
            </w:tcMar>
          </w:tcPr>
          <w:p>
            <w:pPr>
              <w:spacing w:after="0" w:before="0"/>
            </w:pPr>
            <w:r>
              <w:rPr>
                <w:sz w:val="17"/>
              </w:rPr>
              <w:t>Count assignments that fail at least one hard check: ineligible skill/qualification, missing required access, reviewer/separation rule, impossible work window/capacity, protected-commitment conflict, or unresolved dependency. Report invalid assignments ÷ all assignments.</w:t>
            </w:r>
          </w:p>
        </w:tc>
        <w:tc>
          <w:tcPr>
            <w:tcW w:type="dxa" w:w="3312"/>
            <w:vAlign w:val="center"/>
            <w:tcMar>
              <w:top w:w="80" w:type="dxa"/>
              <w:start w:w="90" w:type="dxa"/>
              <w:bottom w:w="80" w:type="dxa"/>
              <w:end w:w="90" w:type="dxa"/>
            </w:tcMar>
          </w:tcPr>
          <w:p>
            <w:pPr>
              <w:spacing w:after="0" w:before="0"/>
            </w:pPr>
            <w:r>
              <w:rPr>
                <w:sz w:val="17"/>
              </w:rPr>
              <w:t>Directly tests whether naive delegation creates impossible or unsafe work.</w:t>
            </w:r>
          </w:p>
        </w:tc>
      </w:tr>
      <w:tr>
        <w:tc>
          <w:tcPr>
            <w:tcW w:type="dxa" w:w="2232"/>
            <w:vAlign w:val="center"/>
            <w:tcMar>
              <w:top w:w="80" w:type="dxa"/>
              <w:start w:w="90" w:type="dxa"/>
              <w:bottom w:w="80" w:type="dxa"/>
              <w:end w:w="90" w:type="dxa"/>
            </w:tcMar>
          </w:tcPr>
          <w:p>
            <w:pPr>
              <w:spacing w:after="0" w:before="0"/>
            </w:pPr>
            <w:r>
              <w:rPr>
                <w:sz w:val="17"/>
              </w:rPr>
              <w:t>Capacity overload</w:t>
            </w:r>
          </w:p>
        </w:tc>
        <w:tc>
          <w:tcPr>
            <w:tcW w:type="dxa" w:w="4608"/>
            <w:vAlign w:val="center"/>
            <w:tcMar>
              <w:top w:w="80" w:type="dxa"/>
              <w:start w:w="90" w:type="dxa"/>
              <w:bottom w:w="80" w:type="dxa"/>
              <w:end w:w="90" w:type="dxa"/>
            </w:tcMar>
          </w:tcPr>
          <w:p>
            <w:pPr>
              <w:spacing w:after="0" w:before="0"/>
            </w:pPr>
            <w:r>
              <w:rPr>
                <w:sz w:val="17"/>
              </w:rPr>
              <w:t>Total active minutes scheduled above employee capacity, number of overlapping full-attention blocks, and max daily load ratio.</w:t>
            </w:r>
          </w:p>
        </w:tc>
        <w:tc>
          <w:tcPr>
            <w:tcW w:type="dxa" w:w="3312"/>
            <w:vAlign w:val="center"/>
            <w:tcMar>
              <w:top w:w="80" w:type="dxa"/>
              <w:start w:w="90" w:type="dxa"/>
              <w:bottom w:w="80" w:type="dxa"/>
              <w:end w:w="90" w:type="dxa"/>
            </w:tcMar>
          </w:tcPr>
          <w:p>
            <w:pPr>
              <w:spacing w:after="0" w:before="0"/>
            </w:pPr>
            <w:r>
              <w:rPr>
                <w:sz w:val="17"/>
              </w:rPr>
              <w:t>Makes “assigned too much work” concrete.</w:t>
            </w:r>
          </w:p>
        </w:tc>
      </w:tr>
      <w:tr>
        <w:tc>
          <w:tcPr>
            <w:tcW w:type="dxa" w:w="2232"/>
            <w:vAlign w:val="center"/>
            <w:tcMar>
              <w:top w:w="80" w:type="dxa"/>
              <w:start w:w="90" w:type="dxa"/>
              <w:bottom w:w="80" w:type="dxa"/>
              <w:end w:w="90" w:type="dxa"/>
            </w:tcMar>
          </w:tcPr>
          <w:p>
            <w:pPr>
              <w:spacing w:after="0" w:before="0"/>
            </w:pPr>
            <w:r>
              <w:rPr>
                <w:sz w:val="17"/>
              </w:rPr>
              <w:t>Dependency / deadline violations</w:t>
            </w:r>
          </w:p>
        </w:tc>
        <w:tc>
          <w:tcPr>
            <w:tcW w:type="dxa" w:w="4608"/>
            <w:vAlign w:val="center"/>
            <w:tcMar>
              <w:top w:w="80" w:type="dxa"/>
              <w:start w:w="90" w:type="dxa"/>
              <w:bottom w:w="80" w:type="dxa"/>
              <w:end w:w="90" w:type="dxa"/>
            </w:tcMar>
          </w:tcPr>
          <w:p>
            <w:pPr>
              <w:spacing w:after="0" w:before="0"/>
            </w:pPr>
            <w:r>
              <w:rPr>
                <w:sz w:val="17"/>
              </w:rPr>
              <w:t>Count precedence violations, missed hard deadlines and total lateness minutes. Keep requested/agreed deadline movement separate.</w:t>
            </w:r>
          </w:p>
        </w:tc>
        <w:tc>
          <w:tcPr>
            <w:tcW w:type="dxa" w:w="3312"/>
            <w:vAlign w:val="center"/>
            <w:tcMar>
              <w:top w:w="80" w:type="dxa"/>
              <w:start w:w="90" w:type="dxa"/>
              <w:bottom w:w="80" w:type="dxa"/>
              <w:end w:w="90" w:type="dxa"/>
            </w:tcMar>
          </w:tcPr>
          <w:p>
            <w:pPr>
              <w:spacing w:after="0" w:before="0"/>
            </w:pPr>
            <w:r>
              <w:rPr>
                <w:sz w:val="17"/>
              </w:rPr>
              <w:t>Tests whether a plan that looks plausible is actually executable.</w:t>
            </w:r>
          </w:p>
        </w:tc>
      </w:tr>
      <w:tr>
        <w:tc>
          <w:tcPr>
            <w:tcW w:type="dxa" w:w="2232"/>
            <w:vAlign w:val="center"/>
            <w:tcMar>
              <w:top w:w="80" w:type="dxa"/>
              <w:start w:w="90" w:type="dxa"/>
              <w:bottom w:w="80" w:type="dxa"/>
              <w:end w:w="90" w:type="dxa"/>
            </w:tcMar>
          </w:tcPr>
          <w:p>
            <w:pPr>
              <w:spacing w:after="0" w:before="0"/>
            </w:pPr>
            <w:r>
              <w:rPr>
                <w:sz w:val="17"/>
              </w:rPr>
              <w:t>Priority service time</w:t>
            </w:r>
          </w:p>
        </w:tc>
        <w:tc>
          <w:tcPr>
            <w:tcW w:type="dxa" w:w="4608"/>
            <w:vAlign w:val="center"/>
            <w:tcMar>
              <w:top w:w="80" w:type="dxa"/>
              <w:start w:w="90" w:type="dxa"/>
              <w:bottom w:w="80" w:type="dxa"/>
              <w:end w:w="90" w:type="dxa"/>
            </w:tcMar>
          </w:tcPr>
          <w:p>
            <w:pPr>
              <w:spacing w:after="0" w:before="0"/>
            </w:pPr>
            <w:r>
              <w:rPr>
                <w:sz w:val="17"/>
              </w:rPr>
              <w:t>For Change B, elapsed scheduled time from incident injection to accepted incident resolution; also report time until the highest-priority blocking tasks finish.</w:t>
            </w:r>
          </w:p>
        </w:tc>
        <w:tc>
          <w:tcPr>
            <w:tcW w:type="dxa" w:w="3312"/>
            <w:vAlign w:val="center"/>
            <w:tcMar>
              <w:top w:w="80" w:type="dxa"/>
              <w:start w:w="90" w:type="dxa"/>
              <w:bottom w:w="80" w:type="dxa"/>
              <w:end w:w="90" w:type="dxa"/>
            </w:tcMar>
          </w:tcPr>
          <w:p>
            <w:pPr>
              <w:spacing w:after="0" w:before="0"/>
            </w:pPr>
            <w:r>
              <w:rPr>
                <w:sz w:val="17"/>
              </w:rPr>
              <w:t>Tests whether the priority policy actually improves service to critical work.</w:t>
            </w:r>
          </w:p>
        </w:tc>
      </w:tr>
      <w:tr>
        <w:tc>
          <w:tcPr>
            <w:tcW w:type="dxa" w:w="2232"/>
            <w:vAlign w:val="center"/>
            <w:tcMar>
              <w:top w:w="80" w:type="dxa"/>
              <w:start w:w="90" w:type="dxa"/>
              <w:bottom w:w="80" w:type="dxa"/>
              <w:end w:w="90" w:type="dxa"/>
            </w:tcMar>
          </w:tcPr>
          <w:p>
            <w:pPr>
              <w:spacing w:after="0" w:before="0"/>
            </w:pPr>
            <w:r>
              <w:rPr>
                <w:sz w:val="17"/>
              </w:rPr>
              <w:t>Lower-priority collateral damage</w:t>
            </w:r>
          </w:p>
        </w:tc>
        <w:tc>
          <w:tcPr>
            <w:tcW w:type="dxa" w:w="4608"/>
            <w:vAlign w:val="center"/>
            <w:tcMar>
              <w:top w:w="80" w:type="dxa"/>
              <w:start w:w="90" w:type="dxa"/>
              <w:bottom w:w="80" w:type="dxa"/>
              <w:end w:w="90" w:type="dxa"/>
            </w:tcMar>
          </w:tcPr>
          <w:p>
            <w:pPr>
              <w:spacing w:after="0" w:before="0"/>
            </w:pPr>
            <w:r>
              <w:rPr>
                <w:sz w:val="17"/>
              </w:rPr>
              <w:t>Count lower-priority commitments moved, deadlines changed and employees newly affected while serving Change B.</w:t>
            </w:r>
          </w:p>
        </w:tc>
        <w:tc>
          <w:tcPr>
            <w:tcW w:type="dxa" w:w="3312"/>
            <w:vAlign w:val="center"/>
            <w:tcMar>
              <w:top w:w="80" w:type="dxa"/>
              <w:start w:w="90" w:type="dxa"/>
              <w:bottom w:w="80" w:type="dxa"/>
              <w:end w:w="90" w:type="dxa"/>
            </w:tcMar>
          </w:tcPr>
          <w:p>
            <w:pPr>
              <w:spacing w:after="0" w:before="0"/>
            </w:pPr>
            <w:r>
              <w:rPr>
                <w:sz w:val="17"/>
              </w:rPr>
              <w:t>Ensures priority does not become an excuse to churn the whole organization.</w:t>
            </w:r>
          </w:p>
        </w:tc>
      </w:tr>
      <w:tr>
        <w:tc>
          <w:tcPr>
            <w:tcW w:type="dxa" w:w="2232"/>
            <w:vAlign w:val="center"/>
            <w:tcMar>
              <w:top w:w="80" w:type="dxa"/>
              <w:start w:w="90" w:type="dxa"/>
              <w:bottom w:w="80" w:type="dxa"/>
              <w:end w:w="90" w:type="dxa"/>
            </w:tcMar>
          </w:tcPr>
          <w:p>
            <w:pPr>
              <w:spacing w:after="0" w:before="0"/>
            </w:pPr>
            <w:r>
              <w:rPr>
                <w:sz w:val="17"/>
              </w:rPr>
              <w:t>Scenario makespan / completion time</w:t>
            </w:r>
          </w:p>
        </w:tc>
        <w:tc>
          <w:tcPr>
            <w:tcW w:type="dxa" w:w="4608"/>
            <w:vAlign w:val="center"/>
            <w:tcMar>
              <w:top w:w="80" w:type="dxa"/>
              <w:start w:w="90" w:type="dxa"/>
              <w:bottom w:w="80" w:type="dxa"/>
              <w:end w:w="90" w:type="dxa"/>
            </w:tcMar>
          </w:tcPr>
          <w:p>
            <w:pPr>
              <w:spacing w:after="0" w:before="0"/>
            </w:pPr>
            <w:r>
              <w:rPr>
                <w:sz w:val="17"/>
              </w:rPr>
              <w:t>Scheduled elapsed time from event injection until all newly required/affected work reaches its terminal accepted state under the simulated durations. Also report each key project/incident completion time separately.</w:t>
            </w:r>
          </w:p>
        </w:tc>
        <w:tc>
          <w:tcPr>
            <w:tcW w:type="dxa" w:w="3312"/>
            <w:vAlign w:val="center"/>
            <w:tcMar>
              <w:top w:w="80" w:type="dxa"/>
              <w:start w:w="90" w:type="dxa"/>
              <w:bottom w:w="80" w:type="dxa"/>
              <w:end w:w="90" w:type="dxa"/>
            </w:tcMar>
          </w:tcPr>
          <w:p>
            <w:pPr>
              <w:spacing w:after="0" w:before="0"/>
            </w:pPr>
            <w:r>
              <w:rPr>
                <w:sz w:val="17"/>
              </w:rPr>
              <w:t>Measures task completion impact without pretending it is measured human productivity.</w:t>
            </w:r>
          </w:p>
        </w:tc>
      </w:tr>
      <w:tr>
        <w:tc>
          <w:tcPr>
            <w:tcW w:type="dxa" w:w="2232"/>
            <w:vAlign w:val="center"/>
            <w:tcMar>
              <w:top w:w="80" w:type="dxa"/>
              <w:start w:w="90" w:type="dxa"/>
              <w:bottom w:w="80" w:type="dxa"/>
              <w:end w:w="90" w:type="dxa"/>
            </w:tcMar>
          </w:tcPr>
          <w:p>
            <w:pPr>
              <w:spacing w:after="0" w:before="0"/>
            </w:pPr>
            <w:r>
              <w:rPr>
                <w:sz w:val="17"/>
              </w:rPr>
              <w:t>Hard-constraint violations</w:t>
            </w:r>
          </w:p>
        </w:tc>
        <w:tc>
          <w:tcPr>
            <w:tcW w:type="dxa" w:w="4608"/>
            <w:vAlign w:val="center"/>
            <w:tcMar>
              <w:top w:w="80" w:type="dxa"/>
              <w:start w:w="90" w:type="dxa"/>
              <w:bottom w:w="80" w:type="dxa"/>
              <w:end w:w="90" w:type="dxa"/>
            </w:tcMar>
          </w:tcPr>
          <w:p>
            <w:pPr>
              <w:spacing w:after="0" w:before="0"/>
            </w:pPr>
            <w:r>
              <w:rPr>
                <w:sz w:val="17"/>
              </w:rPr>
              <w:t>Count final-plan violations reported by the neutral validator; break down by capacity, eligibility, dependency, authority and protection.</w:t>
            </w:r>
          </w:p>
        </w:tc>
        <w:tc>
          <w:tcPr>
            <w:tcW w:type="dxa" w:w="3312"/>
            <w:vAlign w:val="center"/>
            <w:tcMar>
              <w:top w:w="80" w:type="dxa"/>
              <w:start w:w="90" w:type="dxa"/>
              <w:bottom w:w="80" w:type="dxa"/>
              <w:end w:w="90" w:type="dxa"/>
            </w:tcMar>
          </w:tcPr>
          <w:p>
            <w:pPr>
              <w:spacing w:after="0" w:before="0"/>
            </w:pPr>
            <w:r>
              <w:rPr>
                <w:sz w:val="17"/>
              </w:rPr>
              <w:t>Core correctness/safety outcome.</w:t>
            </w:r>
          </w:p>
        </w:tc>
      </w:tr>
      <w:tr>
        <w:tc>
          <w:tcPr>
            <w:tcW w:type="dxa" w:w="2232"/>
            <w:vAlign w:val="center"/>
            <w:tcMar>
              <w:top w:w="80" w:type="dxa"/>
              <w:start w:w="90" w:type="dxa"/>
              <w:bottom w:w="80" w:type="dxa"/>
              <w:end w:w="90" w:type="dxa"/>
            </w:tcMar>
          </w:tcPr>
          <w:p>
            <w:pPr>
              <w:spacing w:after="0" w:before="0"/>
            </w:pPr>
            <w:r>
              <w:rPr>
                <w:sz w:val="17"/>
              </w:rPr>
              <w:t>Source/authority failures</w:t>
            </w:r>
          </w:p>
        </w:tc>
        <w:tc>
          <w:tcPr>
            <w:tcW w:type="dxa" w:w="4608"/>
            <w:vAlign w:val="center"/>
            <w:tcMar>
              <w:top w:w="80" w:type="dxa"/>
              <w:start w:w="90" w:type="dxa"/>
              <w:bottom w:w="80" w:type="dxa"/>
              <w:end w:w="90" w:type="dxa"/>
            </w:tcMar>
          </w:tcPr>
          <w:p>
            <w:pPr>
              <w:spacing w:after="0" w:before="0"/>
            </w:pPr>
            <w:r>
              <w:rPr>
                <w:sz w:val="17"/>
              </w:rPr>
              <w:t>Unsupported material constraints, unapproved priority/deadline changes, or actions outside the actor’s authority.</w:t>
            </w:r>
          </w:p>
        </w:tc>
        <w:tc>
          <w:tcPr>
            <w:tcW w:type="dxa" w:w="3312"/>
            <w:vAlign w:val="center"/>
            <w:tcMar>
              <w:top w:w="80" w:type="dxa"/>
              <w:start w:w="90" w:type="dxa"/>
              <w:bottom w:w="80" w:type="dxa"/>
              <w:end w:w="90" w:type="dxa"/>
            </w:tcMar>
          </w:tcPr>
          <w:p>
            <w:pPr>
              <w:spacing w:after="0" w:before="0"/>
            </w:pPr>
            <w:r>
              <w:rPr>
                <w:sz w:val="17"/>
              </w:rPr>
              <w:t>Tests grounding and authorization, not only scheduling.</w:t>
            </w:r>
          </w:p>
        </w:tc>
      </w:tr>
      <w:tr>
        <w:tc>
          <w:tcPr>
            <w:tcW w:type="dxa" w:w="2232"/>
            <w:vAlign w:val="center"/>
            <w:tcMar>
              <w:top w:w="80" w:type="dxa"/>
              <w:start w:w="90" w:type="dxa"/>
              <w:bottom w:w="80" w:type="dxa"/>
              <w:end w:w="90" w:type="dxa"/>
            </w:tcMar>
          </w:tcPr>
          <w:p>
            <w:pPr>
              <w:spacing w:after="0" w:before="0"/>
            </w:pPr>
            <w:r>
              <w:rPr>
                <w:sz w:val="17"/>
              </w:rPr>
              <w:t>Affected-scope size</w:t>
            </w:r>
          </w:p>
        </w:tc>
        <w:tc>
          <w:tcPr>
            <w:tcW w:type="dxa" w:w="4608"/>
            <w:vAlign w:val="center"/>
            <w:tcMar>
              <w:top w:w="80" w:type="dxa"/>
              <w:start w:w="90" w:type="dxa"/>
              <w:bottom w:w="80" w:type="dxa"/>
              <w:end w:w="90" w:type="dxa"/>
            </w:tcMar>
          </w:tcPr>
          <w:p>
            <w:pPr>
              <w:spacing w:after="0" w:before="0"/>
            </w:pPr>
            <w:r>
              <w:rPr>
                <w:sz w:val="17"/>
              </w:rPr>
              <w:t>Employees, teams, projects and tasks read/replanned/notified; compare with full company size.</w:t>
            </w:r>
          </w:p>
        </w:tc>
        <w:tc>
          <w:tcPr>
            <w:tcW w:type="dxa" w:w="3312"/>
            <w:vAlign w:val="center"/>
            <w:tcMar>
              <w:top w:w="80" w:type="dxa"/>
              <w:start w:w="90" w:type="dxa"/>
              <w:bottom w:w="80" w:type="dxa"/>
              <w:end w:w="90" w:type="dxa"/>
            </w:tcMar>
          </w:tcPr>
          <w:p>
            <w:pPr>
              <w:spacing w:after="0" w:before="0"/>
            </w:pPr>
            <w:r>
              <w:rPr>
                <w:sz w:val="17"/>
              </w:rPr>
              <w:t>Shows locality and avoids company-wide churn.</w:t>
            </w:r>
          </w:p>
        </w:tc>
      </w:tr>
      <w:tr>
        <w:tc>
          <w:tcPr>
            <w:tcW w:type="dxa" w:w="2232"/>
            <w:vAlign w:val="center"/>
            <w:tcMar>
              <w:top w:w="80" w:type="dxa"/>
              <w:start w:w="90" w:type="dxa"/>
              <w:bottom w:w="80" w:type="dxa"/>
              <w:end w:w="90" w:type="dxa"/>
            </w:tcMar>
          </w:tcPr>
          <w:p>
            <w:pPr>
              <w:spacing w:after="0" w:before="0"/>
            </w:pPr>
            <w:r>
              <w:rPr>
                <w:sz w:val="17"/>
              </w:rPr>
              <w:t>Planning latency</w:t>
            </w:r>
          </w:p>
        </w:tc>
        <w:tc>
          <w:tcPr>
            <w:tcW w:type="dxa" w:w="4608"/>
            <w:vAlign w:val="center"/>
            <w:tcMar>
              <w:top w:w="80" w:type="dxa"/>
              <w:start w:w="90" w:type="dxa"/>
              <w:bottom w:w="80" w:type="dxa"/>
              <w:end w:w="90" w:type="dxa"/>
            </w:tcMar>
          </w:tcPr>
          <w:p>
            <w:pPr>
              <w:spacing w:after="0" w:before="0"/>
            </w:pPr>
            <w:r>
              <w:rPr>
                <w:sz w:val="17"/>
              </w:rPr>
              <w:t>Wall-clock retrieval + interpretation + planning + validation time by stage on declared hardware/configuration.</w:t>
            </w:r>
          </w:p>
        </w:tc>
        <w:tc>
          <w:tcPr>
            <w:tcW w:type="dxa" w:w="3312"/>
            <w:vAlign w:val="center"/>
            <w:tcMar>
              <w:top w:w="80" w:type="dxa"/>
              <w:start w:w="90" w:type="dxa"/>
              <w:bottom w:w="80" w:type="dxa"/>
              <w:end w:w="90" w:type="dxa"/>
            </w:tcMar>
          </w:tcPr>
          <w:p>
            <w:pPr>
              <w:spacing w:after="0" w:before="0"/>
            </w:pPr>
            <w:r>
              <w:rPr>
                <w:sz w:val="17"/>
              </w:rPr>
              <w:t>System performance metric; keep separate from simulated task completion time.</w:t>
            </w:r>
          </w:p>
        </w:tc>
      </w:tr>
    </w:tbl>
    <w:p>
      <w:pPr>
        <w:pStyle w:val="Heading2"/>
      </w:pPr>
      <w:r>
        <w:t>9.4 Benchmark procedure and headline statistics</w:t>
      </w:r>
    </w:p>
    <w:p>
      <w:pPr/>
      <w:r>
        <w:t>For every scenario: (1) reset to the same immutable initial snapshot; (2) inject the same event/source versions; (3) run the naive baseline and persist its complete event/communication log; (4) reset; (5) run Coordination Engine; (6) validate both final outputs with the same neutral checker; and (7) compute metrics from the logs. Use fixed seeds for replayability. For the main demo, show the exact numbers for Changes A and B; for stronger statistics, generate multiple parameterized variants of each change and report the distribution/median as well as failures.</w:t>
      </w:r>
    </w:p>
    <w:tbl>
      <w:tblPr>
        <w:tblStyle w:val="TableGrid"/>
        <w:tblW w:type="auto" w:w="0"/>
        <w:jc w:val="center"/>
        <w:tblLook w:firstColumn="1" w:firstRow="1" w:lastColumn="0" w:lastRow="0" w:noHBand="0" w:noVBand="1" w:val="04A0"/>
      </w:tblPr>
      <w:tblGrid>
        <w:gridCol w:w="5083"/>
        <w:gridCol w:w="5083"/>
      </w:tblGrid>
      <w:tr>
        <w:tc>
          <w:tcPr>
            <w:tcW w:type="dxa" w:w="3600"/>
            <w:shd w:fill="17354D"/>
            <w:vAlign w:val="center"/>
            <w:tcMar>
              <w:top w:w="80" w:type="dxa"/>
              <w:start w:w="90" w:type="dxa"/>
              <w:bottom w:w="80" w:type="dxa"/>
              <w:end w:w="90" w:type="dxa"/>
            </w:tcMar>
          </w:tcPr>
          <w:p>
            <w:pPr>
              <w:spacing w:after="0" w:before="0"/>
            </w:pPr>
            <w:r>
              <w:rPr>
                <w:b/>
                <w:color w:val="FFFFFF"/>
                <w:sz w:val="17"/>
              </w:rPr>
              <w:t>Recommended headline</w:t>
            </w:r>
          </w:p>
        </w:tc>
        <w:tc>
          <w:tcPr>
            <w:tcW w:type="dxa" w:w="6480"/>
            <w:shd w:fill="17354D"/>
            <w:vAlign w:val="center"/>
            <w:tcMar>
              <w:top w:w="80" w:type="dxa"/>
              <w:start w:w="90" w:type="dxa"/>
              <w:bottom w:w="80" w:type="dxa"/>
              <w:end w:w="90" w:type="dxa"/>
            </w:tcMar>
          </w:tcPr>
          <w:p>
            <w:pPr>
              <w:spacing w:after="0" w:before="0"/>
            </w:pPr>
            <w:r>
              <w:rPr>
                <w:b/>
                <w:color w:val="FFFFFF"/>
                <w:sz w:val="17"/>
              </w:rPr>
              <w:t>Computation</w:t>
            </w:r>
          </w:p>
        </w:tc>
      </w:tr>
      <w:tr>
        <w:tc>
          <w:tcPr>
            <w:tcW w:type="dxa" w:w="3600"/>
            <w:vAlign w:val="center"/>
            <w:tcMar>
              <w:top w:w="80" w:type="dxa"/>
              <w:start w:w="90" w:type="dxa"/>
              <w:bottom w:w="80" w:type="dxa"/>
              <w:end w:w="90" w:type="dxa"/>
            </w:tcMar>
          </w:tcPr>
          <w:p>
            <w:pPr>
              <w:spacing w:after="0" w:before="0"/>
            </w:pPr>
            <w:r>
              <w:rPr>
                <w:sz w:val="17"/>
              </w:rPr>
              <w:t>Fewer existing commitments changed</w:t>
            </w:r>
          </w:p>
        </w:tc>
        <w:tc>
          <w:tcPr>
            <w:tcW w:type="dxa" w:w="6480"/>
            <w:vAlign w:val="center"/>
            <w:tcMar>
              <w:top w:w="80" w:type="dxa"/>
              <w:start w:w="90" w:type="dxa"/>
              <w:bottom w:w="80" w:type="dxa"/>
              <w:end w:w="90" w:type="dxa"/>
            </w:tcMar>
          </w:tcPr>
          <w:p>
            <w:pPr>
              <w:spacing w:after="0" w:before="0"/>
            </w:pPr>
            <w:r>
              <w:rPr>
                <w:sz w:val="17"/>
              </w:rPr>
              <w:t>1 − (system changed commitments ÷ naive changed commitments)</w:t>
            </w:r>
          </w:p>
        </w:tc>
      </w:tr>
      <w:tr>
        <w:tc>
          <w:tcPr>
            <w:tcW w:type="dxa" w:w="3600"/>
            <w:vAlign w:val="center"/>
            <w:tcMar>
              <w:top w:w="80" w:type="dxa"/>
              <w:start w:w="90" w:type="dxa"/>
              <w:bottom w:w="80" w:type="dxa"/>
              <w:end w:w="90" w:type="dxa"/>
            </w:tcMar>
          </w:tcPr>
          <w:p>
            <w:pPr>
              <w:spacing w:after="0" w:before="0"/>
            </w:pPr>
            <w:r>
              <w:rPr>
                <w:sz w:val="17"/>
              </w:rPr>
              <w:t>Fewer replans</w:t>
            </w:r>
          </w:p>
        </w:tc>
        <w:tc>
          <w:tcPr>
            <w:tcW w:type="dxa" w:w="6480"/>
            <w:vAlign w:val="center"/>
            <w:tcMar>
              <w:top w:w="80" w:type="dxa"/>
              <w:start w:w="90" w:type="dxa"/>
              <w:bottom w:w="80" w:type="dxa"/>
              <w:end w:w="90" w:type="dxa"/>
            </w:tcMar>
          </w:tcPr>
          <w:p>
            <w:pPr>
              <w:spacing w:after="0" w:before="0"/>
            </w:pPr>
            <w:r>
              <w:rPr>
                <w:sz w:val="17"/>
              </w:rPr>
              <w:t>1 − (system planning/replan iterations ÷ naive iterations)</w:t>
            </w:r>
          </w:p>
        </w:tc>
      </w:tr>
      <w:tr>
        <w:tc>
          <w:tcPr>
            <w:tcW w:type="dxa" w:w="3600"/>
            <w:vAlign w:val="center"/>
            <w:tcMar>
              <w:top w:w="80" w:type="dxa"/>
              <w:start w:w="90" w:type="dxa"/>
              <w:bottom w:w="80" w:type="dxa"/>
              <w:end w:w="90" w:type="dxa"/>
            </w:tcMar>
          </w:tcPr>
          <w:p>
            <w:pPr>
              <w:spacing w:after="0" w:before="0"/>
            </w:pPr>
            <w:r>
              <w:rPr>
                <w:sz w:val="17"/>
              </w:rPr>
              <w:t>Fewer coordination relays</w:t>
            </w:r>
          </w:p>
        </w:tc>
        <w:tc>
          <w:tcPr>
            <w:tcW w:type="dxa" w:w="6480"/>
            <w:vAlign w:val="center"/>
            <w:tcMar>
              <w:top w:w="80" w:type="dxa"/>
              <w:start w:w="90" w:type="dxa"/>
              <w:bottom w:w="80" w:type="dxa"/>
              <w:end w:w="90" w:type="dxa"/>
            </w:tcMar>
          </w:tcPr>
          <w:p>
            <w:pPr>
              <w:spacing w:after="0" w:before="0"/>
            </w:pPr>
            <w:r>
              <w:rPr>
                <w:sz w:val="17"/>
              </w:rPr>
              <w:t>1 − (system relay hops ÷ naive relay hops)</w:t>
            </w:r>
          </w:p>
        </w:tc>
      </w:tr>
      <w:tr>
        <w:tc>
          <w:tcPr>
            <w:tcW w:type="dxa" w:w="3600"/>
            <w:vAlign w:val="center"/>
            <w:tcMar>
              <w:top w:w="80" w:type="dxa"/>
              <w:start w:w="90" w:type="dxa"/>
              <w:bottom w:w="80" w:type="dxa"/>
              <w:end w:w="90" w:type="dxa"/>
            </w:tcMar>
          </w:tcPr>
          <w:p>
            <w:pPr>
              <w:spacing w:after="0" w:before="0"/>
            </w:pPr>
            <w:r>
              <w:rPr>
                <w:sz w:val="17"/>
              </w:rPr>
              <w:t>Fewer invalid delegations</w:t>
            </w:r>
          </w:p>
        </w:tc>
        <w:tc>
          <w:tcPr>
            <w:tcW w:type="dxa" w:w="6480"/>
            <w:vAlign w:val="center"/>
            <w:tcMar>
              <w:top w:w="80" w:type="dxa"/>
              <w:start w:w="90" w:type="dxa"/>
              <w:bottom w:w="80" w:type="dxa"/>
              <w:end w:w="90" w:type="dxa"/>
            </w:tcMar>
          </w:tcPr>
          <w:p>
            <w:pPr>
              <w:spacing w:after="0" w:before="0"/>
            </w:pPr>
            <w:r>
              <w:rPr>
                <w:sz w:val="17"/>
              </w:rPr>
              <w:t>Compare invalid-assignment count/rate after neutral validation</w:t>
            </w:r>
          </w:p>
        </w:tc>
      </w:tr>
      <w:tr>
        <w:tc>
          <w:tcPr>
            <w:tcW w:type="dxa" w:w="3600"/>
            <w:vAlign w:val="center"/>
            <w:tcMar>
              <w:top w:w="80" w:type="dxa"/>
              <w:start w:w="90" w:type="dxa"/>
              <w:bottom w:w="80" w:type="dxa"/>
              <w:end w:w="90" w:type="dxa"/>
            </w:tcMar>
          </w:tcPr>
          <w:p>
            <w:pPr>
              <w:spacing w:after="0" w:before="0"/>
            </w:pPr>
            <w:r>
              <w:rPr>
                <w:sz w:val="17"/>
              </w:rPr>
              <w:t>Critical work completed sooner</w:t>
            </w:r>
          </w:p>
        </w:tc>
        <w:tc>
          <w:tcPr>
            <w:tcW w:type="dxa" w:w="6480"/>
            <w:vAlign w:val="center"/>
            <w:tcMar>
              <w:top w:w="80" w:type="dxa"/>
              <w:start w:w="90" w:type="dxa"/>
              <w:bottom w:w="80" w:type="dxa"/>
              <w:end w:w="90" w:type="dxa"/>
            </w:tcMar>
          </w:tcPr>
          <w:p>
            <w:pPr>
              <w:spacing w:after="0" w:before="0"/>
            </w:pPr>
            <w:r>
              <w:rPr>
                <w:sz w:val="17"/>
              </w:rPr>
              <w:t>Naive incident resolution time − system incident resolution time in the simulated schedule</w:t>
            </w:r>
          </w:p>
        </w:tc>
      </w:tr>
      <w:tr>
        <w:tc>
          <w:tcPr>
            <w:tcW w:type="dxa" w:w="3600"/>
            <w:vAlign w:val="center"/>
            <w:tcMar>
              <w:top w:w="80" w:type="dxa"/>
              <w:start w:w="90" w:type="dxa"/>
              <w:bottom w:w="80" w:type="dxa"/>
              <w:end w:w="90" w:type="dxa"/>
            </w:tcMar>
          </w:tcPr>
          <w:p>
            <w:pPr>
              <w:spacing w:after="0" w:before="0"/>
            </w:pPr>
            <w:r>
              <w:rPr>
                <w:sz w:val="17"/>
              </w:rPr>
              <w:t>Less capacity overload</w:t>
            </w:r>
          </w:p>
        </w:tc>
        <w:tc>
          <w:tcPr>
            <w:tcW w:type="dxa" w:w="6480"/>
            <w:vAlign w:val="center"/>
            <w:tcMar>
              <w:top w:w="80" w:type="dxa"/>
              <w:start w:w="90" w:type="dxa"/>
              <w:bottom w:w="80" w:type="dxa"/>
              <w:end w:w="90" w:type="dxa"/>
            </w:tcMar>
          </w:tcPr>
          <w:p>
            <w:pPr>
              <w:spacing w:after="0" w:before="0"/>
            </w:pPr>
            <w:r>
              <w:rPr>
                <w:sz w:val="17"/>
              </w:rPr>
              <w:t>Naive overloaded active minutes − system overloaded active minutes</w:t>
            </w:r>
          </w:p>
        </w:tc>
      </w:tr>
      <w:tr>
        <w:tc>
          <w:tcPr>
            <w:tcW w:type="dxa" w:w="3600"/>
            <w:vAlign w:val="center"/>
            <w:tcMar>
              <w:top w:w="80" w:type="dxa"/>
              <w:start w:w="90" w:type="dxa"/>
              <w:bottom w:w="80" w:type="dxa"/>
              <w:end w:w="90" w:type="dxa"/>
            </w:tcMar>
          </w:tcPr>
          <w:p>
            <w:pPr>
              <w:spacing w:after="0" w:before="0"/>
            </w:pPr>
            <w:r>
              <w:rPr>
                <w:sz w:val="17"/>
              </w:rPr>
              <w:t>More commitments preserved</w:t>
            </w:r>
          </w:p>
        </w:tc>
        <w:tc>
          <w:tcPr>
            <w:tcW w:type="dxa" w:w="6480"/>
            <w:vAlign w:val="center"/>
            <w:tcMar>
              <w:top w:w="80" w:type="dxa"/>
              <w:start w:w="90" w:type="dxa"/>
              <w:bottom w:w="80" w:type="dxa"/>
              <w:end w:w="90" w:type="dxa"/>
            </w:tcMar>
          </w:tcPr>
          <w:p>
            <w:pPr>
              <w:spacing w:after="0" w:before="0"/>
            </w:pPr>
            <w:r>
              <w:rPr>
                <w:sz w:val="17"/>
              </w:rPr>
              <w:t>System preservation rate − naive preservation rate</w:t>
            </w:r>
          </w:p>
        </w:tc>
      </w:tr>
    </w:tbl>
    <w:p>
      <w:pPr>
        <w:pStyle w:val="SmallNote"/>
      </w:pPr>
      <w:r>
        <w:t>Interpretation guardrail: these are synthetic workflow/scheduling results, not measured employee productivity or real-world minutes saved. Phrase claims as “in our synthetic benchmark” or “under the simulated workload.” Do not convert relay counts into salary/ROI without a real human study.</w:t>
      </w:r>
    </w:p>
    <w:p>
      <w:pPr>
        <w:spacing w:after="0"/>
      </w:pPr>
    </w:p>
    <w:p>
      <w:pPr>
        <w:pStyle w:val="Heading1"/>
      </w:pPr>
      <w:r>
        <w:t>10. Generator Requirements for Codex Agents</w:t>
      </w:r>
    </w:p>
    <w:p>
      <w:r>
        <w:t>Build a deterministic synthetic-company generator rather than hand-authoring thousands of rows. It should support a fixed random seed and emit both full-company fixtures and scenario-specific ground truth.</w:t>
      </w:r>
    </w:p>
    <w:p>
      <w:pPr>
        <w:pStyle w:val="Heading2"/>
      </w:pPr>
      <w:r>
        <w:t>10.1 Required generation stages</w:t>
      </w:r>
    </w:p>
    <w:p>
      <w:pPr>
        <w:pStyle w:val="ListNumber"/>
        <w:spacing w:after="40"/>
      </w:pPr>
      <w:r>
        <w:t>Generate functions, teams, managers and team memberships according to the locked headcount table.</w:t>
      </w:r>
    </w:p>
    <w:p>
      <w:pPr>
        <w:pStyle w:val="ListNumber"/>
        <w:spacing w:after="40"/>
      </w:pPr>
      <w:r>
        <w:t>Generate employees with working hours, skills/qualifications, project familiarity and cross-team memberships.</w:t>
      </w:r>
    </w:p>
    <w:p>
      <w:pPr>
        <w:pStyle w:val="ListNumber"/>
      </w:pPr>
      <w:r>
        <w:t>Generate the reporting/coordination graph: employee manager, team lead/member, project lead/contributor and escalation owner relationships. Keep communication relationships separate from source-access grants.</w:t>
      </w:r>
    </w:p>
    <w:p>
      <w:pPr>
        <w:pStyle w:val="ListNumber"/>
        <w:spacing w:after="40"/>
      </w:pPr>
      <w:r>
        <w:t>Instantiate ~150 projects from the workflow template library.</w:t>
      </w:r>
    </w:p>
    <w:p>
      <w:pPr>
        <w:pStyle w:val="ListNumber"/>
        <w:spacing w:after="40"/>
      </w:pPr>
      <w:r>
        <w:t>Generate ~8,000 tasks with coherent dependencies, effort, deadlines, priorities, reviewer requirements and statuses.</w:t>
      </w:r>
    </w:p>
    <w:p>
      <w:pPr>
        <w:pStyle w:val="ListNumber"/>
        <w:spacing w:after="40"/>
      </w:pPr>
      <w:r>
        <w:t>Generate existing committed work segments and calendar busy intervals; keep some origins private/opaque.</w:t>
      </w:r>
    </w:p>
    <w:p>
      <w:pPr>
        <w:pStyle w:val="ListNumber"/>
        <w:spacing w:after="40"/>
      </w:pPr>
      <w:r>
        <w:t>Generate source records and exact source versions that justify deadlines, requirements, availability and policy constraints.</w:t>
      </w:r>
    </w:p>
    <w:p>
      <w:pPr>
        <w:pStyle w:val="ListNumber"/>
        <w:spacing w:after="40"/>
      </w:pPr>
      <w:r>
        <w:t>Generate project/task/source access grants; deliberately include cross-team shared employees with non-transitive access.</w:t>
      </w:r>
    </w:p>
    <w:p>
      <w:pPr>
        <w:pStyle w:val="ListNumber"/>
        <w:spacing w:after="40"/>
      </w:pPr>
      <w:r>
        <w:t>Validate the initial company state so no seeded committed plan violates hard constraints unless the scenario intentionally represents an already-detected failure.</w:t>
      </w:r>
    </w:p>
    <w:p>
      <w:pPr>
        <w:pStyle w:val="ListNumber"/>
        <w:spacing w:after="40"/>
      </w:pPr>
      <w:r>
        <w:t>Inject the two required main-demo events (deadline pull-in and authorised Critical-priority incident), then optional benchmark events from the library. Emit a separate scenario manifest describing the expected evaluation class and comparison baseline inputs.</w:t>
      </w:r>
    </w:p>
    <w:p>
      <w:pPr>
        <w:pStyle w:val="ListNumber"/>
        <w:spacing w:after="40"/>
      </w:pPr>
      <w:r>
        <w:t>Write fixtures in stable, versioned JSON/CSV/SQL-friendly formats and provide a reset command for the demo tenant.</w:t>
      </w:r>
    </w:p>
    <w:p>
      <w:pPr>
        <w:pStyle w:val="Heading2"/>
      </w:pPr>
      <w:r>
        <w:t>10.2 Scale presets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shd w:fill="17365D"/>
            <w:vAlign w:val="center"/>
            <w:tcMar>
              <w:top w:w="70" w:type="dxa"/>
              <w:start w:w="90" w:type="dxa"/>
              <w:bottom w:w="70" w:type="dxa"/>
              <w:end w:w="90" w:type="dxa"/>
            </w:tcMar>
          </w:tcPr>
          <w:p>
            <w:pPr>
              <w:jc w:val="left"/>
            </w:pPr>
            <w:r>
              <w:rPr>
                <w:rFonts w:ascii="Arial" w:hAnsi="Arial"/>
                <w:b/>
                <w:color w:val="FFFFFF"/>
                <w:sz w:val="16"/>
              </w:rPr>
              <w:t>Preset</w:t>
            </w:r>
          </w:p>
        </w:tc>
        <w:tc>
          <w:tcPr>
            <w:tcW w:type="dxa" w:w="1440"/>
            <w:shd w:fill="17365D"/>
            <w:vAlign w:val="center"/>
            <w:tcMar>
              <w:top w:w="70" w:type="dxa"/>
              <w:start w:w="90" w:type="dxa"/>
              <w:bottom w:w="70" w:type="dxa"/>
              <w:end w:w="90" w:type="dxa"/>
            </w:tcMar>
          </w:tcPr>
          <w:p>
            <w:pPr>
              <w:jc w:val="left"/>
            </w:pPr>
            <w:r>
              <w:rPr>
                <w:rFonts w:ascii="Arial" w:hAnsi="Arial"/>
                <w:b/>
                <w:color w:val="FFFFFF"/>
                <w:sz w:val="16"/>
              </w:rPr>
              <w:t>Employees</w:t>
            </w:r>
          </w:p>
        </w:tc>
        <w:tc>
          <w:tcPr>
            <w:tcW w:type="dxa" w:w="1440"/>
            <w:shd w:fill="17365D"/>
            <w:vAlign w:val="center"/>
            <w:tcMar>
              <w:top w:w="70" w:type="dxa"/>
              <w:start w:w="90" w:type="dxa"/>
              <w:bottom w:w="70" w:type="dxa"/>
              <w:end w:w="90" w:type="dxa"/>
            </w:tcMar>
          </w:tcPr>
          <w:p>
            <w:pPr>
              <w:jc w:val="left"/>
            </w:pPr>
            <w:r>
              <w:rPr>
                <w:rFonts w:ascii="Arial" w:hAnsi="Arial"/>
                <w:b/>
                <w:color w:val="FFFFFF"/>
                <w:sz w:val="16"/>
              </w:rPr>
              <w:t>Teams</w:t>
            </w:r>
          </w:p>
        </w:tc>
        <w:tc>
          <w:tcPr>
            <w:tcW w:type="dxa" w:w="1728"/>
            <w:shd w:fill="17365D"/>
            <w:vAlign w:val="center"/>
            <w:tcMar>
              <w:top w:w="70" w:type="dxa"/>
              <w:start w:w="90" w:type="dxa"/>
              <w:bottom w:w="70" w:type="dxa"/>
              <w:end w:w="90" w:type="dxa"/>
            </w:tcMar>
          </w:tcPr>
          <w:p>
            <w:pPr>
              <w:jc w:val="left"/>
            </w:pPr>
            <w:r>
              <w:rPr>
                <w:rFonts w:ascii="Arial" w:hAnsi="Arial"/>
                <w:b/>
                <w:color w:val="FFFFFF"/>
                <w:sz w:val="16"/>
              </w:rPr>
              <w:t>Active tasks</w:t>
            </w:r>
          </w:p>
        </w:tc>
        <w:tc>
          <w:tcPr>
            <w:tcW w:type="dxa" w:w="3888"/>
            <w:shd w:fill="17365D"/>
            <w:vAlign w:val="center"/>
            <w:tcMar>
              <w:top w:w="70" w:type="dxa"/>
              <w:start w:w="90" w:type="dxa"/>
              <w:bottom w:w="70" w:type="dxa"/>
              <w:end w:w="90" w:type="dxa"/>
            </w:tcMar>
          </w:tcPr>
          <w:p>
            <w:pPr>
              <w:jc w:val="left"/>
            </w:pPr>
            <w:r>
              <w:rPr>
                <w:rFonts w:ascii="Arial" w:hAnsi="Arial"/>
                <w:b/>
                <w:color w:val="FFFFFF"/>
                <w:sz w:val="16"/>
              </w:rPr>
              <w:t>Use</w:t>
            </w:r>
          </w:p>
        </w:tc>
      </w:tr>
      <w:tr>
        <w:tc>
          <w:tcPr>
            <w:tcW w:type="dxa" w:w="1440"/>
            <w:vAlign w:val="top"/>
            <w:tcMar>
              <w:top w:w="70" w:type="dxa"/>
              <w:start w:w="90" w:type="dxa"/>
              <w:bottom w:w="70" w:type="dxa"/>
              <w:end w:w="90" w:type="dxa"/>
            </w:tcMar>
          </w:tcPr>
          <w:p>
            <w:pPr>
              <w:spacing w:after="0"/>
            </w:pPr>
            <w:r>
              <w:rPr>
                <w:rFonts w:ascii="Arial" w:hAnsi="Arial"/>
                <w:sz w:val="16"/>
              </w:rPr>
              <w:t>tiny</w:t>
            </w:r>
          </w:p>
        </w:tc>
        <w:tc>
          <w:tcPr>
            <w:tcW w:type="dxa" w:w="1440"/>
            <w:vAlign w:val="top"/>
            <w:tcMar>
              <w:top w:w="70" w:type="dxa"/>
              <w:start w:w="90" w:type="dxa"/>
              <w:bottom w:w="70" w:type="dxa"/>
              <w:end w:w="90" w:type="dxa"/>
            </w:tcMar>
          </w:tcPr>
          <w:p>
            <w:pPr>
              <w:spacing w:after="0"/>
            </w:pPr>
            <w:r>
              <w:rPr>
                <w:rFonts w:ascii="Arial" w:hAnsi="Arial"/>
                <w:sz w:val="16"/>
              </w:rPr>
              <w:t>25</w:t>
            </w:r>
          </w:p>
        </w:tc>
        <w:tc>
          <w:tcPr>
            <w:tcW w:type="dxa" w:w="1440"/>
            <w:vAlign w:val="top"/>
            <w:tcMar>
              <w:top w:w="70" w:type="dxa"/>
              <w:start w:w="90" w:type="dxa"/>
              <w:bottom w:w="70" w:type="dxa"/>
              <w:end w:w="90" w:type="dxa"/>
            </w:tcMar>
          </w:tcPr>
          <w:p>
            <w:pPr>
              <w:spacing w:after="0"/>
            </w:pPr>
            <w:r>
              <w:rPr>
                <w:rFonts w:ascii="Arial" w:hAnsi="Arial"/>
                <w:sz w:val="16"/>
              </w:rPr>
              <w:t>4</w:t>
            </w:r>
          </w:p>
        </w:tc>
        <w:tc>
          <w:tcPr>
            <w:tcW w:type="dxa" w:w="1728"/>
            <w:vAlign w:val="top"/>
            <w:tcMar>
              <w:top w:w="70" w:type="dxa"/>
              <w:start w:w="90" w:type="dxa"/>
              <w:bottom w:w="70" w:type="dxa"/>
              <w:end w:w="90" w:type="dxa"/>
            </w:tcMar>
          </w:tcPr>
          <w:p>
            <w:pPr>
              <w:spacing w:after="0"/>
            </w:pPr>
            <w:r>
              <w:rPr>
                <w:rFonts w:ascii="Arial" w:hAnsi="Arial"/>
                <w:sz w:val="16"/>
              </w:rPr>
              <w:t>75</w:t>
            </w:r>
          </w:p>
        </w:tc>
        <w:tc>
          <w:tcPr>
            <w:tcW w:type="dxa" w:w="3888"/>
            <w:vAlign w:val="top"/>
            <w:tcMar>
              <w:top w:w="70" w:type="dxa"/>
              <w:start w:w="90" w:type="dxa"/>
              <w:bottom w:w="70" w:type="dxa"/>
              <w:end w:w="90" w:type="dxa"/>
            </w:tcMar>
          </w:tcPr>
          <w:p>
            <w:pPr>
              <w:spacing w:after="0"/>
            </w:pPr>
            <w:r>
              <w:rPr>
                <w:rFonts w:ascii="Arial" w:hAnsi="Arial"/>
                <w:sz w:val="16"/>
              </w:rPr>
              <w:t>Unit tests and exhaustive correctness checks</w:t>
            </w:r>
          </w:p>
        </w:tc>
      </w:tr>
      <w:tr>
        <w:tc>
          <w:tcPr>
            <w:tcW w:type="dxa" w:w="1440"/>
            <w:vAlign w:val="top"/>
            <w:tcMar>
              <w:top w:w="70" w:type="dxa"/>
              <w:start w:w="90" w:type="dxa"/>
              <w:bottom w:w="70" w:type="dxa"/>
              <w:end w:w="90" w:type="dxa"/>
            </w:tcMar>
            <w:shd w:fill="F6F8FA"/>
          </w:tcPr>
          <w:p>
            <w:pPr>
              <w:spacing w:after="0"/>
            </w:pPr>
            <w:r>
              <w:rPr>
                <w:rFonts w:ascii="Arial" w:hAnsi="Arial"/>
                <w:sz w:val="16"/>
              </w:rPr>
              <w:t>medium</w:t>
            </w:r>
          </w:p>
        </w:tc>
        <w:tc>
          <w:tcPr>
            <w:tcW w:type="dxa" w:w="1440"/>
            <w:vAlign w:val="top"/>
            <w:tcMar>
              <w:top w:w="70" w:type="dxa"/>
              <w:start w:w="90" w:type="dxa"/>
              <w:bottom w:w="70" w:type="dxa"/>
              <w:end w:w="90" w:type="dxa"/>
            </w:tcMar>
            <w:shd w:fill="F6F8FA"/>
          </w:tcPr>
          <w:p>
            <w:pPr>
              <w:spacing w:after="0"/>
            </w:pPr>
            <w:r>
              <w:rPr>
                <w:rFonts w:ascii="Arial" w:hAnsi="Arial"/>
                <w:sz w:val="16"/>
              </w:rPr>
              <w:t>100</w:t>
            </w:r>
          </w:p>
        </w:tc>
        <w:tc>
          <w:tcPr>
            <w:tcW w:type="dxa" w:w="1440"/>
            <w:vAlign w:val="top"/>
            <w:tcMar>
              <w:top w:w="70" w:type="dxa"/>
              <w:start w:w="90" w:type="dxa"/>
              <w:bottom w:w="70" w:type="dxa"/>
              <w:end w:w="90" w:type="dxa"/>
            </w:tcMar>
            <w:shd w:fill="F6F8FA"/>
          </w:tcPr>
          <w:p>
            <w:pPr>
              <w:spacing w:after="0"/>
            </w:pPr>
            <w:r>
              <w:rPr>
                <w:rFonts w:ascii="Arial" w:hAnsi="Arial"/>
                <w:sz w:val="16"/>
              </w:rPr>
              <w:t>10</w:t>
            </w:r>
          </w:p>
        </w:tc>
        <w:tc>
          <w:tcPr>
            <w:tcW w:type="dxa" w:w="1728"/>
            <w:vAlign w:val="top"/>
            <w:tcMar>
              <w:top w:w="70" w:type="dxa"/>
              <w:start w:w="90" w:type="dxa"/>
              <w:bottom w:w="70" w:type="dxa"/>
              <w:end w:w="90" w:type="dxa"/>
            </w:tcMar>
            <w:shd w:fill="F6F8FA"/>
          </w:tcPr>
          <w:p>
            <w:pPr>
              <w:spacing w:after="0"/>
            </w:pPr>
            <w:r>
              <w:rPr>
                <w:rFonts w:ascii="Arial" w:hAnsi="Arial"/>
                <w:sz w:val="16"/>
              </w:rPr>
              <w:t>~350</w:t>
            </w:r>
          </w:p>
        </w:tc>
        <w:tc>
          <w:tcPr>
            <w:tcW w:type="dxa" w:w="3888"/>
            <w:vAlign w:val="top"/>
            <w:tcMar>
              <w:top w:w="70" w:type="dxa"/>
              <w:start w:w="90" w:type="dxa"/>
              <w:bottom w:w="70" w:type="dxa"/>
              <w:end w:w="90" w:type="dxa"/>
            </w:tcMar>
            <w:shd w:fill="F6F8FA"/>
          </w:tcPr>
          <w:p>
            <w:pPr>
              <w:spacing w:after="0"/>
            </w:pPr>
            <w:r>
              <w:rPr>
                <w:rFonts w:ascii="Arial" w:hAnsi="Arial"/>
                <w:sz w:val="16"/>
              </w:rPr>
              <w:t>Integration and local-repair regression tests</w:t>
            </w:r>
          </w:p>
        </w:tc>
      </w:tr>
      <w:tr>
        <w:tc>
          <w:tcPr>
            <w:tcW w:type="dxa" w:w="1440"/>
            <w:vAlign w:val="top"/>
            <w:tcMar>
              <w:top w:w="70" w:type="dxa"/>
              <w:start w:w="90" w:type="dxa"/>
              <w:bottom w:w="70" w:type="dxa"/>
              <w:end w:w="90" w:type="dxa"/>
            </w:tcMar>
          </w:tcPr>
          <w:p>
            <w:pPr>
              <w:spacing w:after="0"/>
            </w:pPr>
            <w:r>
              <w:rPr>
                <w:rFonts w:ascii="Arial" w:hAnsi="Arial"/>
                <w:sz w:val="16"/>
              </w:rPr>
              <w:t>demo/full</w:t>
            </w:r>
          </w:p>
        </w:tc>
        <w:tc>
          <w:tcPr>
            <w:tcW w:type="dxa" w:w="1440"/>
            <w:vAlign w:val="top"/>
            <w:tcMar>
              <w:top w:w="70" w:type="dxa"/>
              <w:start w:w="90" w:type="dxa"/>
              <w:bottom w:w="70" w:type="dxa"/>
              <w:end w:w="90" w:type="dxa"/>
            </w:tcMar>
          </w:tcPr>
          <w:p>
            <w:pPr>
              <w:spacing w:after="0"/>
            </w:pPr>
            <w:r>
              <w:rPr>
                <w:rFonts w:ascii="Arial" w:hAnsi="Arial"/>
                <w:sz w:val="16"/>
              </w:rPr>
              <w:t>3,000</w:t>
            </w:r>
          </w:p>
        </w:tc>
        <w:tc>
          <w:tcPr>
            <w:tcW w:type="dxa" w:w="1440"/>
            <w:vAlign w:val="top"/>
            <w:tcMar>
              <w:top w:w="70" w:type="dxa"/>
              <w:start w:w="90" w:type="dxa"/>
              <w:bottom w:w="70" w:type="dxa"/>
              <w:end w:w="90" w:type="dxa"/>
            </w:tcMar>
          </w:tcPr>
          <w:p>
            <w:pPr>
              <w:spacing w:after="0"/>
            </w:pPr>
            <w:r>
              <w:rPr>
                <w:rFonts w:ascii="Arial" w:hAnsi="Arial"/>
                <w:sz w:val="16"/>
              </w:rPr>
              <w:t>117</w:t>
            </w:r>
          </w:p>
        </w:tc>
        <w:tc>
          <w:tcPr>
            <w:tcW w:type="dxa" w:w="1728"/>
            <w:vAlign w:val="top"/>
            <w:tcMar>
              <w:top w:w="70" w:type="dxa"/>
              <w:start w:w="90" w:type="dxa"/>
              <w:bottom w:w="70" w:type="dxa"/>
              <w:end w:w="90" w:type="dxa"/>
            </w:tcMar>
          </w:tcPr>
          <w:p>
            <w:pPr>
              <w:spacing w:after="0"/>
            </w:pPr>
            <w:r>
              <w:rPr>
                <w:rFonts w:ascii="Arial" w:hAnsi="Arial"/>
                <w:sz w:val="16"/>
              </w:rPr>
              <w:t>~8,000</w:t>
            </w:r>
          </w:p>
        </w:tc>
        <w:tc>
          <w:tcPr>
            <w:tcW w:type="dxa" w:w="3888"/>
            <w:vAlign w:val="top"/>
            <w:tcMar>
              <w:top w:w="70" w:type="dxa"/>
              <w:start w:w="90" w:type="dxa"/>
              <w:bottom w:w="70" w:type="dxa"/>
              <w:end w:w="90" w:type="dxa"/>
            </w:tcMar>
          </w:tcPr>
          <w:p>
            <w:pPr>
              <w:spacing w:after="0"/>
            </w:pPr>
            <w:r>
              <w:rPr>
                <w:rFonts w:ascii="Arial" w:hAnsi="Arial"/>
                <w:sz w:val="16"/>
              </w:rPr>
              <w:t>Main synthetic company and scale demo</w:t>
            </w:r>
          </w:p>
        </w:tc>
      </w:tr>
      <w:tr>
        <w:tc>
          <w:tcPr>
            <w:tcW w:type="dxa" w:w="1440"/>
            <w:vAlign w:val="top"/>
            <w:tcMar>
              <w:top w:w="70" w:type="dxa"/>
              <w:start w:w="90" w:type="dxa"/>
              <w:bottom w:w="70" w:type="dxa"/>
              <w:end w:w="90" w:type="dxa"/>
            </w:tcMar>
            <w:shd w:fill="F6F8FA"/>
          </w:tcPr>
          <w:p>
            <w:pPr>
              <w:spacing w:after="0"/>
            </w:pPr>
            <w:r>
              <w:rPr>
                <w:rFonts w:ascii="Arial" w:hAnsi="Arial"/>
                <w:sz w:val="16"/>
              </w:rPr>
              <w:t>stress (optional)</w:t>
            </w:r>
          </w:p>
        </w:tc>
        <w:tc>
          <w:tcPr>
            <w:tcW w:type="dxa" w:w="1440"/>
            <w:vAlign w:val="top"/>
            <w:tcMar>
              <w:top w:w="70" w:type="dxa"/>
              <w:start w:w="90" w:type="dxa"/>
              <w:bottom w:w="70" w:type="dxa"/>
              <w:end w:w="90" w:type="dxa"/>
            </w:tcMar>
            <w:shd w:fill="F6F8FA"/>
          </w:tcPr>
          <w:p>
            <w:pPr>
              <w:spacing w:after="0"/>
            </w:pPr>
            <w:r>
              <w:rPr>
                <w:rFonts w:ascii="Arial" w:hAnsi="Arial"/>
                <w:sz w:val="16"/>
              </w:rPr>
              <w:t>10,000</w:t>
            </w:r>
          </w:p>
        </w:tc>
        <w:tc>
          <w:tcPr>
            <w:tcW w:type="dxa" w:w="1440"/>
            <w:vAlign w:val="top"/>
            <w:tcMar>
              <w:top w:w="70" w:type="dxa"/>
              <w:start w:w="90" w:type="dxa"/>
              <w:bottom w:w="70" w:type="dxa"/>
              <w:end w:w="90" w:type="dxa"/>
            </w:tcMar>
            <w:shd w:fill="F6F8FA"/>
          </w:tcPr>
          <w:p>
            <w:pPr>
              <w:spacing w:after="0"/>
            </w:pPr>
            <w:r>
              <w:rPr>
                <w:rFonts w:ascii="Arial" w:hAnsi="Arial"/>
                <w:sz w:val="16"/>
              </w:rPr>
              <w:t>300+</w:t>
            </w:r>
          </w:p>
        </w:tc>
        <w:tc>
          <w:tcPr>
            <w:tcW w:type="dxa" w:w="1728"/>
            <w:vAlign w:val="top"/>
            <w:tcMar>
              <w:top w:w="70" w:type="dxa"/>
              <w:start w:w="90" w:type="dxa"/>
              <w:bottom w:w="70" w:type="dxa"/>
              <w:end w:w="90" w:type="dxa"/>
            </w:tcMar>
            <w:shd w:fill="F6F8FA"/>
          </w:tcPr>
          <w:p>
            <w:pPr>
              <w:spacing w:after="0"/>
            </w:pPr>
            <w:r>
              <w:rPr>
                <w:rFonts w:ascii="Arial" w:hAnsi="Arial"/>
                <w:sz w:val="16"/>
              </w:rPr>
              <w:t>~30,000</w:t>
            </w:r>
          </w:p>
        </w:tc>
        <w:tc>
          <w:tcPr>
            <w:tcW w:type="dxa" w:w="3888"/>
            <w:vAlign w:val="top"/>
            <w:tcMar>
              <w:top w:w="70" w:type="dxa"/>
              <w:start w:w="90" w:type="dxa"/>
              <w:bottom w:w="70" w:type="dxa"/>
              <w:end w:w="90" w:type="dxa"/>
            </w:tcMar>
            <w:shd w:fill="F6F8FA"/>
          </w:tcPr>
          <w:p>
            <w:pPr>
              <w:spacing w:after="0"/>
            </w:pPr>
            <w:r>
              <w:rPr>
                <w:rFonts w:ascii="Arial" w:hAnsi="Arial"/>
                <w:sz w:val="16"/>
              </w:rPr>
              <w:t>Only if time remains; never block P0 delivery</w:t>
            </w:r>
          </w:p>
        </w:tc>
      </w:tr>
    </w:tbl>
    <w:p>
      <w:pPr>
        <w:spacing w:after="0"/>
      </w:pPr>
    </w:p>
    <w:p>
      <w:pPr>
        <w:pStyle w:val="Heading2"/>
      </w:pPr>
      <w:r>
        <w:t>10.3 Suggested output structure</w:t>
      </w:r>
    </w:p>
    <w:p>
      <w:pPr>
        <w:pStyle w:val="CodeBlock"/>
      </w:pPr>
      <w:r>
        <w:t>fixtures/</w:t>
        <w:br/>
        <w:t xml:space="preserve">  company/</w:t>
        <w:br/>
        <w:t xml:space="preserve">    companies.json</w:t>
        <w:br/>
        <w:t xml:space="preserve">    teams.json</w:t>
        <w:br/>
        <w:t xml:space="preserve">    employees.json</w:t>
        <w:br/>
        <w:t xml:space="preserve">    memberships.json</w:t>
        <w:br/>
        <w:t xml:space="preserve">    skills.json</w:t>
        <w:br/>
        <w:t xml:space="preserve">    access_grants.json</w:t>
        <w:br/>
        <w:t xml:space="preserve">    priority_policy.json</w:t>
        <w:br/>
        <w:t xml:space="preserve">  work/</w:t>
        <w:br/>
        <w:t xml:space="preserve">    projects.json</w:t>
        <w:br/>
        <w:t xml:space="preserve">    tasks.json</w:t>
        <w:br/>
        <w:t xml:space="preserve">    dependencies.json</w:t>
        <w:br/>
        <w:t xml:space="preserve">    requirements.json</w:t>
        <w:br/>
        <w:t xml:space="preserve">    schedule_blocks.json</w:t>
        <w:br/>
        <w:t xml:space="preserve">    availability.json</w:t>
        <w:br/>
        <w:t xml:space="preserve">  sources/</w:t>
        <w:br/>
        <w:t xml:space="preserve">    source_records.json</w:t>
        <w:br/>
        <w:t xml:space="preserve">    source_versions.json</w:t>
        <w:br/>
        <w:t xml:space="preserve">    briefs.json</w:t>
        <w:br/>
        <w:t xml:space="preserve">  scenarios/</w:t>
        <w:br/>
        <w:t xml:space="preserve">    deadline_pull_in/</w:t>
        <w:br/>
        <w:t xml:space="preserve">      event.json</w:t>
        <w:br/>
        <w:t xml:space="preserve">      ground_truth.json</w:t>
        <w:br/>
        <w:t xml:space="preserve">    shared_specialist_hr/</w:t>
        <w:br/>
        <w:t xml:space="preserve">      event.json</w:t>
        <w:br/>
        <w:t xml:space="preserve">      ground_truth.json</w:t>
        <w:br/>
        <w:t xml:space="preserve">    impossible_deadline/</w:t>
        <w:br/>
        <w:t xml:space="preserve">      event.json</w:t>
        <w:br/>
        <w:t xml:space="preserve">      ground_truth.json</w:t>
        <w:br/>
        <w:t xml:space="preserve">    revoked_source/</w:t>
        <w:br/>
        <w:t xml:space="preserve">      event.json</w:t>
        <w:br/>
        <w:t xml:space="preserve">      ground_truth.json</w:t>
        <w:br/>
        <w:t xml:space="preserve">    no_impact_change/</w:t>
        <w:br/>
        <w:t xml:space="preserve">      event.json</w:t>
        <w:br/>
        <w:t xml:space="preserve">      ground_truth.json</w:t>
      </w:r>
    </w:p>
    <w:p>
      <w:pPr>
        <w:pStyle w:val="Heading1"/>
      </w:pPr>
      <w:r>
        <w:t>11. Build Priorities</w:t>
      </w:r>
    </w:p>
    <w:tbl>
      <w:tblPr>
        <w:tblStyle w:val="TableGrid"/>
        <w:tblW w:type="auto" w:w="0"/>
        <w:jc w:val="center"/>
        <w:tblLook w:firstColumn="1" w:firstRow="1" w:lastColumn="0" w:lastRow="0" w:noHBand="0" w:noVBand="1" w:val="04A0"/>
      </w:tblPr>
      <w:tblGrid>
        <w:gridCol w:w="5083"/>
        <w:gridCol w:w="5083"/>
      </w:tblGrid>
      <w:tr>
        <w:tc>
          <w:tcPr>
            <w:tcW w:type="dxa" w:w="1296"/>
            <w:shd w:fill="17365D"/>
            <w:vAlign w:val="center"/>
            <w:tcMar>
              <w:top w:w="70" w:type="dxa"/>
              <w:start w:w="90" w:type="dxa"/>
              <w:bottom w:w="70" w:type="dxa"/>
              <w:end w:w="90" w:type="dxa"/>
            </w:tcMar>
          </w:tcPr>
          <w:p>
            <w:pPr>
              <w:jc w:val="left"/>
            </w:pPr>
            <w:r>
              <w:rPr>
                <w:rFonts w:ascii="Arial" w:hAnsi="Arial"/>
                <w:b/>
                <w:color w:val="FFFFFF"/>
                <w:sz w:val="16"/>
              </w:rPr>
              <w:t>Priority</w:t>
            </w:r>
          </w:p>
        </w:tc>
        <w:tc>
          <w:tcPr>
            <w:tcW w:type="dxa" w:w="8640"/>
            <w:shd w:fill="17365D"/>
            <w:vAlign w:val="center"/>
            <w:tcMar>
              <w:top w:w="70" w:type="dxa"/>
              <w:start w:w="90" w:type="dxa"/>
              <w:bottom w:w="70" w:type="dxa"/>
              <w:end w:w="90" w:type="dxa"/>
            </w:tcMar>
          </w:tcPr>
          <w:p>
            <w:pPr>
              <w:jc w:val="left"/>
            </w:pPr>
            <w:r>
              <w:rPr>
                <w:rFonts w:ascii="Arial" w:hAnsi="Arial"/>
                <w:b/>
                <w:color w:val="FFFFFF"/>
                <w:sz w:val="16"/>
              </w:rPr>
              <w:t>Must be working</w:t>
            </w:r>
          </w:p>
        </w:tc>
      </w:tr>
      <w:tr>
        <w:tc>
          <w:tcPr>
            <w:tcW w:type="dxa" w:w="1296"/>
            <w:vAlign w:val="top"/>
            <w:tcMar>
              <w:top w:w="70" w:type="dxa"/>
              <w:start w:w="90" w:type="dxa"/>
              <w:bottom w:w="70" w:type="dxa"/>
              <w:end w:w="90" w:type="dxa"/>
            </w:tcMar>
          </w:tcPr>
          <w:p>
            <w:pPr>
              <w:spacing w:after="0"/>
            </w:pPr>
            <w:r>
              <w:rPr>
                <w:rFonts w:ascii="Arial" w:hAnsi="Arial"/>
                <w:sz w:val="16"/>
              </w:rPr>
              <w:t>P0</w:t>
            </w:r>
          </w:p>
        </w:tc>
        <w:tc>
          <w:tcPr>
            <w:tcW w:type="dxa" w:w="8640"/>
            <w:vAlign w:val="top"/>
            <w:tcMar>
              <w:top w:w="70" w:type="dxa"/>
              <w:start w:w="90" w:type="dxa"/>
              <w:bottom w:w="70" w:type="dxa"/>
              <w:end w:w="90" w:type="dxa"/>
            </w:tcMar>
          </w:tcPr>
          <w:p>
            <w:pPr>
              <w:spacing w:after="0"/>
            </w:pPr>
            <w:r>
              <w:rPr>
                <w:rFonts w:ascii="Arial" w:hAnsi="Arial"/>
                <w:sz w:val="16"/>
              </w:rPr>
              <w:t>Deterministic generator; full 3,000-person company fixture; coherent tasks/dependencies; access controls; availability; source lineage; 5–10 high-quality change scenarios; resettable demo state.</w:t>
            </w:r>
          </w:p>
        </w:tc>
      </w:tr>
      <w:tr>
        <w:tc>
          <w:tcPr>
            <w:tcW w:type="dxa" w:w="1296"/>
            <w:vAlign w:val="top"/>
            <w:tcMar>
              <w:top w:w="70" w:type="dxa"/>
              <w:start w:w="90" w:type="dxa"/>
              <w:bottom w:w="70" w:type="dxa"/>
              <w:end w:w="90" w:type="dxa"/>
            </w:tcMar>
            <w:shd w:fill="F6F8FA"/>
          </w:tcPr>
          <w:p>
            <w:pPr>
              <w:spacing w:after="0"/>
            </w:pPr>
            <w:r>
              <w:rPr>
                <w:rFonts w:ascii="Arial" w:hAnsi="Arial"/>
                <w:sz w:val="16"/>
              </w:rPr>
              <w:t>P0</w:t>
            </w:r>
          </w:p>
        </w:tc>
        <w:tc>
          <w:tcPr>
            <w:tcW w:type="dxa" w:w="8640"/>
            <w:vAlign w:val="top"/>
            <w:tcMar>
              <w:top w:w="70" w:type="dxa"/>
              <w:start w:w="90" w:type="dxa"/>
              <w:bottom w:w="70" w:type="dxa"/>
              <w:end w:w="90" w:type="dxa"/>
            </w:tcMar>
            <w:shd w:fill="F6F8FA"/>
          </w:tcPr>
          <w:p>
            <w:r>
              <w:t>Two-change main demo: (A) Hikari customer deadline pull-in; (B) authorised Sev-1/Critical production incident competing for shared Security/QA capacity. Show priority-driven minimal repair, privacy-safe cross-team facts, direct notifications and any required approval.</w:t>
            </w:r>
          </w:p>
        </w:tc>
      </w:tr>
      <w:tr>
        <w:tc>
          <w:tcPr>
            <w:tcW w:type="dxa" w:w="1296"/>
            <w:vAlign w:val="top"/>
            <w:tcMar>
              <w:top w:w="70" w:type="dxa"/>
              <w:start w:w="90" w:type="dxa"/>
              <w:bottom w:w="70" w:type="dxa"/>
              <w:end w:w="90" w:type="dxa"/>
            </w:tcMar>
          </w:tcPr>
          <w:p>
            <w:pPr>
              <w:spacing w:after="0"/>
            </w:pPr>
            <w:r>
              <w:rPr>
                <w:rFonts w:ascii="Arial" w:hAnsi="Arial"/>
                <w:sz w:val="16"/>
              </w:rPr>
              <w:t>P0</w:t>
            </w:r>
          </w:p>
        </w:tc>
        <w:tc>
          <w:tcPr>
            <w:tcW w:type="dxa" w:w="8640"/>
            <w:vAlign w:val="top"/>
            <w:tcMar>
              <w:top w:w="70" w:type="dxa"/>
              <w:start w:w="90" w:type="dxa"/>
              <w:bottom w:w="70" w:type="dxa"/>
              <w:end w:w="90" w:type="dxa"/>
            </w:tcMar>
          </w:tcPr>
          <w:p>
            <w:r>
              <w:t>Ground-truth manifests plus side-by-side Coordination Engine vs naive-baseline benchmark outputs for disruption, replan iterations, coordination relay/duplication, scheduled completion time, invalid delegations/capacity overload, hard-constraint safety, grounding and affected scope.</w:t>
            </w:r>
          </w:p>
        </w:tc>
      </w:tr>
      <w:tr>
        <w:tc>
          <w:tcPr>
            <w:tcW w:type="dxa" w:w="1296"/>
            <w:vAlign w:val="top"/>
            <w:tcMar>
              <w:top w:w="70" w:type="dxa"/>
              <w:start w:w="90" w:type="dxa"/>
              <w:bottom w:w="70" w:type="dxa"/>
              <w:end w:w="90" w:type="dxa"/>
            </w:tcMar>
            <w:shd w:fill="F6F8FA"/>
          </w:tcPr>
          <w:p>
            <w:pPr>
              <w:spacing w:after="0"/>
            </w:pPr>
            <w:r>
              <w:rPr>
                <w:rFonts w:ascii="Arial" w:hAnsi="Arial"/>
                <w:sz w:val="16"/>
              </w:rPr>
              <w:t>P1</w:t>
            </w:r>
          </w:p>
        </w:tc>
        <w:tc>
          <w:tcPr>
            <w:tcW w:type="dxa" w:w="8640"/>
            <w:vAlign w:val="top"/>
            <w:tcMar>
              <w:top w:w="70" w:type="dxa"/>
              <w:start w:w="90" w:type="dxa"/>
              <w:bottom w:w="70" w:type="dxa"/>
              <w:end w:w="90" w:type="dxa"/>
            </w:tcMar>
            <w:shd w:fill="F6F8FA"/>
          </w:tcPr>
          <w:p>
            <w:pPr>
              <w:spacing w:after="0"/>
            </w:pPr>
            <w:r>
              <w:rPr>
                <w:rFonts w:ascii="Arial" w:hAnsi="Arial"/>
                <w:sz w:val="16"/>
              </w:rPr>
              <w:t>More workflow templates, more live-like text sources, additional randomized benchmark cases, richer geography/timezones.</w:t>
            </w:r>
          </w:p>
        </w:tc>
      </w:tr>
      <w:tr>
        <w:tc>
          <w:tcPr>
            <w:tcW w:type="dxa" w:w="1296"/>
            <w:vAlign w:val="top"/>
            <w:tcMar>
              <w:top w:w="70" w:type="dxa"/>
              <w:start w:w="90" w:type="dxa"/>
              <w:bottom w:w="70" w:type="dxa"/>
              <w:end w:w="90" w:type="dxa"/>
            </w:tcMar>
          </w:tcPr>
          <w:p>
            <w:pPr>
              <w:spacing w:after="0"/>
            </w:pPr>
            <w:r>
              <w:rPr>
                <w:rFonts w:ascii="Arial" w:hAnsi="Arial"/>
                <w:sz w:val="16"/>
              </w:rPr>
              <w:t>Deferred</w:t>
            </w:r>
          </w:p>
        </w:tc>
        <w:tc>
          <w:tcPr>
            <w:tcW w:type="dxa" w:w="8640"/>
            <w:vAlign w:val="top"/>
            <w:tcMar>
              <w:top w:w="70" w:type="dxa"/>
              <w:start w:w="90" w:type="dxa"/>
              <w:bottom w:w="70" w:type="dxa"/>
              <w:end w:w="90" w:type="dxa"/>
            </w:tcMar>
          </w:tcPr>
          <w:p>
            <w:pPr>
              <w:spacing w:after="0"/>
            </w:pPr>
            <w:r>
              <w:rPr>
                <w:rFonts w:ascii="Arial" w:hAnsi="Arial"/>
                <w:sz w:val="16"/>
              </w:rPr>
              <w:t>Trying to reproduce a real company’s confidential org chart or private workflows; large-scale human user study; autonomous agent workforce simulation.</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sz w:val="20"/>
              </w:rPr>
              <w:t>Do not do this</w:t>
              <w:br/>
            </w:r>
            <w:r>
              <w:rPr>
                <w:sz w:val="18"/>
              </w:rPr>
              <w:t>Do not use real employee names, real customer projects, scraped private org charts, or confidential company data. Public real-company patterns may inspire ratios or workflow types, but the generated organization and all source content must remain synthetic.</w:t>
            </w:r>
          </w:p>
        </w:tc>
      </w:tr>
    </w:tbl>
    <w:p>
      <w:pPr>
        <w:spacing w:after="0"/>
      </w:pPr>
    </w:p>
    <w:p>
      <w:pPr>
        <w:pStyle w:val="Heading1"/>
      </w:pPr>
      <w:r>
        <w:t>12. Simulation Acceptance Checklist</w:t>
      </w:r>
    </w:p>
    <w:p>
      <w:pPr>
        <w:spacing w:after="40"/>
        <w:ind w:left="72"/>
      </w:pPr>
      <w:r>
        <w:rPr>
          <w:b/>
        </w:rPr>
        <w:t xml:space="preserve">☐ </w:t>
      </w:r>
      <w:r>
        <w:t>Full fixture contains exactly the intended narrative scale (target 3,000 employees / 117 teams) or a documented deterministic variant.</w:t>
      </w:r>
    </w:p>
    <w:p>
      <w:pPr>
        <w:spacing w:after="40"/>
        <w:ind w:left="72"/>
      </w:pPr>
      <w:r>
        <w:rPr>
          <w:b/>
        </w:rPr>
        <w:t xml:space="preserve">☐ </w:t>
      </w:r>
      <w:r>
        <w:t>At least ~150 projects and thousands of coherent tasks exist; dependencies do not form unintended cycles.</w:t>
      </w:r>
    </w:p>
    <w:p>
      <w:pPr>
        <w:spacing w:after="40"/>
        <w:ind w:left="72"/>
      </w:pPr>
      <w:r>
        <w:rPr>
          <w:b/>
        </w:rPr>
        <w:t xml:space="preserve">☐ </w:t>
      </w:r>
      <w:r>
        <w:t>At least 20 cross-team employees exist with privacy-restricted source contexts.</w:t>
      </w:r>
    </w:p>
    <w:p>
      <w:pPr>
        <w:spacing w:after="40"/>
        <w:ind w:left="72"/>
      </w:pPr>
      <w:r>
        <w:rPr>
          <w:b/>
        </w:rPr>
        <w:t xml:space="preserve">☐ </w:t>
      </w:r>
      <w:r>
        <w:t>Initial committed schedules satisfy hard capacity/working-time constraints.</w:t>
      </w:r>
    </w:p>
    <w:p>
      <w:pPr>
        <w:spacing w:after="40"/>
        <w:ind w:left="72"/>
      </w:pPr>
      <w:r>
        <w:rPr>
          <w:b/>
        </w:rPr>
        <w:t xml:space="preserve">☐ </w:t>
      </w:r>
      <w:r>
        <w:t>Source versions and access grants exist for every material benchmark constraint.</w:t>
      </w:r>
    </w:p>
    <w:p>
      <w:pPr>
        <w:spacing w:after="40"/>
        <w:ind w:left="72"/>
      </w:pPr>
      <w:r>
        <w:t>☐ Both main demo changes produce a small affected subgraph relative to the full company and can be replayed from the same fixed starting snapshot.</w:t>
      </w:r>
    </w:p>
    <w:p>
      <w:pPr>
        <w:spacing w:after="40"/>
        <w:ind w:left="72"/>
      </w:pPr>
      <w:r>
        <w:t>☐ Change A requires a nontrivial minimal repair; Change B exercises authorised priority escalation and contested shared capacity without globally stopping unrelated work.</w:t>
      </w:r>
    </w:p>
    <w:p>
      <w:pPr>
        <w:spacing w:after="40"/>
        <w:ind w:left="72"/>
      </w:pPr>
      <w:r>
        <w:rPr>
          <w:b/>
        </w:rPr>
        <w:t xml:space="preserve">☐ </w:t>
      </w:r>
      <w:r>
        <w:t>At least one event should correctly require no broader replan.</w:t>
      </w:r>
    </w:p>
    <w:p>
      <w:pPr>
        <w:spacing w:after="40"/>
        <w:ind w:left="72"/>
      </w:pPr>
      <w:r>
        <w:rPr>
          <w:b/>
        </w:rPr>
        <w:t xml:space="preserve">☐ </w:t>
      </w:r>
      <w:r>
        <w:t>Cross-team viewers never receive private project titles/conversations without explicit grants.</w:t>
      </w:r>
    </w:p>
    <w:p>
      <w:pPr>
        <w:spacing w:after="40"/>
        <w:ind w:left="72"/>
      </w:pPr>
      <w:r>
        <w:rPr>
          <w:b/>
        </w:rPr>
        <w:t xml:space="preserve">☐ </w:t>
      </w:r>
      <w:r>
        <w:t>Each scenario includes a ground_truth.json and can be reset/replayed from a fixed seed.</w:t>
      </w:r>
    </w:p>
    <w:p>
      <w:pPr>
        <w:spacing w:after="40"/>
        <w:ind w:left="72"/>
      </w:pPr>
      <w:r>
        <w:t>☐ Benchmark runner runs Coordination Engine and the reproducible naive coordinator from identical snapshots and reports changed commitments, owner churn, schedule displacement, replan iterations, coordination relay hops/duplicate transmissions, people contacted, scheduled completion/priority service time, invalid delegation rate, capacity overload, hard-constraint safety, grounding/authority, affected-scope size and latency.</w:t>
      </w:r>
    </w:p>
    <w:p>
      <w:pPr/>
      <w:r>
        <w:t>☐ The naive baseline receives the same authorised facts, task durations, skills, priority/deadline policy and initial state; it differs in local greedy/cascade planning rather than being intentionally deprived of information.</w:t>
      </w:r>
    </w:p>
    <w:p>
      <w:pPr>
        <w:spacing w:after="40"/>
        <w:ind w:left="72"/>
      </w:pPr>
      <w:r>
        <w:rPr>
          <w:b/>
        </w:rPr>
        <w:t xml:space="preserve">☐ </w:t>
      </w:r>
      <w:r>
        <w:t>All fixture capabilities are clearly labelled synthetic/simulated in the app and README.</w:t>
      </w:r>
    </w:p>
    <w:p>
      <w:pPr>
        <w:pStyle w:val="Heading1"/>
      </w:pPr>
      <w:r>
        <w:t>13. One-Paragraph Agent Handoff</w:t>
      </w: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
              <w:t>Copyable implementation brief</w:t>
            </w:r>
            <w:r>
              <w:br/>
            </w:r>
            <w:r>
              <w:t>Build a deterministic synthetic company fixture for Coordination Engine representing a 3,000-person Japanese B2B enterprise-software and implementation-services company with 117 teams, about 150 active projects and about 8,000 active tasks/commitments. Generate coherent project/task dependency graphs, skills, qualifications, calendars, availability, priorities, protected commitments, reviewer requirements, source records/versions, scope-specific access grants, and an explicit reporting/coordination graph for communication-hop measurement. Preserve cross-team privacy: shared employees have one company-wide capacity budget, but managers/teams do not inherit access to another team’s private files or conversations; planners receive only minimum-sufficient boundary facts unless explicit grants permit more. The main demo has exactly two connected changes: (A) Hikari moves its customer demo earlier, requiring a minimal verified repair; (B) a new Sev-1 production incident is authoritatively declared Critical and competes for shared Security/QA capacity, exercising product-wide priority and displacement rules. Keep the broader workflow-template and event libraries as generator/benchmark context, not as additional main-demo stories. Implement a reproducible naive coordinator baseline using the same initial snapshot and authorised facts but local greedy assignment/scheduling, conflict-by-conflict cascade repair and hierarchical coordination relays rather than global Z3 verification/minimal-disruption planning. For every scenario, log and compare changed commitments, owner churn, schedule displacement, plan/replan iterations, people contacted, coordination relay hops, duplicate information transmissions, clarifications/approvals, invalid delegations, capacity overload, dependency/deadline violations, critical-priority service time, scenario completion time, hard-constraint violations, grounding/authority failures, affected-scope size and planning latency. Validate both outputs with the same neutral checker. All headline claims must be labelled synthetic benchmark results, not measured employee productivity.</w:t>
            </w:r>
          </w:p>
        </w:tc>
      </w:tr>
    </w:tbl>
    <w:p>
      <w:pPr>
        <w:spacing w:after="0"/>
      </w:pPr>
    </w:p>
    <w:p>
      <w:pPr>
        <w:pStyle w:val="SmallNote"/>
      </w:pPr>
      <w:r>
        <w:t>Status: simulation design specification only. Numeric fixture targets are synthetic defaults selected for the hackathon; they are not claims about a real company or measured product capacity.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1.1  |  Synthetic data only  |  Context handoff for simulation agents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COORDINATION ENGINE  |  SYNTHETIC COMPANY SIMULATION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Liberation Mono" w:hAnsi="Liberation Mono"/>
      <w:sz w:val="17"/>
    </w:rPr>
  </w:style>
  <w:style w:type="paragraph" w:customStyle="1" w:styleId="SmallNote">
    <w:name w:val="Small Note"/>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